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20E20" w14:textId="77777777" w:rsidR="0028644A" w:rsidRDefault="00D76856">
      <w:pPr>
        <w:spacing w:after="590"/>
        <w:jc w:val="center"/>
        <w:rPr>
          <w:rFonts w:ascii="標楷體" w:eastAsia="標楷體" w:hAnsi="標楷體" w:cs="標楷體"/>
          <w:b/>
          <w:sz w:val="56"/>
          <w:szCs w:val="56"/>
        </w:rPr>
      </w:pPr>
      <w:r>
        <w:rPr>
          <w:rFonts w:ascii="標楷體" w:eastAsia="標楷體" w:hAnsi="標楷體" w:cs="標楷體"/>
          <w:b/>
          <w:sz w:val="56"/>
          <w:szCs w:val="56"/>
        </w:rPr>
        <w:t>中華電視股份有限公司</w:t>
      </w:r>
    </w:p>
    <w:p w14:paraId="1414C0A3" w14:textId="77777777" w:rsidR="0028644A" w:rsidRDefault="00D76856">
      <w:pPr>
        <w:spacing w:after="590"/>
        <w:jc w:val="center"/>
      </w:pPr>
      <w:r>
        <w:rPr>
          <w:rFonts w:ascii="標楷體" w:eastAsia="標楷體" w:hAnsi="標楷體" w:cs="標楷體"/>
          <w:b/>
          <w:sz w:val="56"/>
          <w:szCs w:val="56"/>
        </w:rPr>
        <w:t>「113年度新媒體部防火牆設備更新」採購案</w:t>
      </w:r>
      <w:r>
        <w:br w:type="page"/>
      </w:r>
      <w:r>
        <w:rPr>
          <w:noProof/>
        </w:rPr>
        <mc:AlternateContent>
          <mc:Choice Requires="wps">
            <w:drawing>
              <wp:anchor distT="0" distB="0" distL="114300" distR="114300" simplePos="0" relativeHeight="251658240" behindDoc="0" locked="0" layoutInCell="1" hidden="0" allowOverlap="1" wp14:anchorId="5837390F" wp14:editId="5994C78B">
                <wp:simplePos x="0" y="0"/>
                <wp:positionH relativeFrom="column">
                  <wp:posOffset>1028700</wp:posOffset>
                </wp:positionH>
                <wp:positionV relativeFrom="paragraph">
                  <wp:posOffset>1587500</wp:posOffset>
                </wp:positionV>
                <wp:extent cx="2889885" cy="1657985"/>
                <wp:effectExtent l="0" t="0" r="0" b="0"/>
                <wp:wrapSquare wrapText="bothSides" distT="0" distB="0" distL="114300" distR="114300"/>
                <wp:docPr id="8" name="矩形 8"/>
                <wp:cNvGraphicFramePr/>
                <a:graphic xmlns:a="http://schemas.openxmlformats.org/drawingml/2006/main">
                  <a:graphicData uri="http://schemas.microsoft.com/office/word/2010/wordprocessingShape">
                    <wps:wsp>
                      <wps:cNvSpPr/>
                      <wps:spPr>
                        <a:xfrm>
                          <a:off x="3915345" y="2965295"/>
                          <a:ext cx="2861310" cy="1629410"/>
                        </a:xfrm>
                        <a:prstGeom prst="rect">
                          <a:avLst/>
                        </a:prstGeom>
                        <a:noFill/>
                        <a:ln w="9525" cap="flat" cmpd="sng">
                          <a:solidFill>
                            <a:srgbClr val="FFFFFF"/>
                          </a:solidFill>
                          <a:prstDash val="solid"/>
                          <a:miter lim="800000"/>
                          <a:headEnd type="none" w="sm" len="sm"/>
                          <a:tailEnd type="none" w="sm" len="sm"/>
                        </a:ln>
                      </wps:spPr>
                      <wps:txbx>
                        <w:txbxContent>
                          <w:p w14:paraId="07FDEDB1" w14:textId="77777777" w:rsidR="0028644A" w:rsidRDefault="00D76856">
                            <w:pPr>
                              <w:jc w:val="center"/>
                              <w:textDirection w:val="btLr"/>
                            </w:pPr>
                            <w:r>
                              <w:rPr>
                                <w:rFonts w:ascii="標楷體" w:eastAsia="標楷體" w:hAnsi="標楷體" w:cs="標楷體"/>
                                <w:color w:val="000000"/>
                                <w:sz w:val="80"/>
                              </w:rPr>
                              <w:t>招標規範</w:t>
                            </w:r>
                          </w:p>
                        </w:txbxContent>
                      </wps:txbx>
                      <wps:bodyPr spcFirstLastPara="1" wrap="square" lIns="91425" tIns="45700" rIns="91425" bIns="45700" anchor="ctr" anchorCtr="0">
                        <a:noAutofit/>
                      </wps:bodyPr>
                    </wps:wsp>
                  </a:graphicData>
                </a:graphic>
              </wp:anchor>
            </w:drawing>
          </mc:Choice>
          <mc:Fallback>
            <w:pict>
              <v:rect w14:anchorId="5837390F" id="矩形 8" o:spid="_x0000_s1026" style="position:absolute;left:0;text-align:left;margin-left:81pt;margin-top:125pt;width:227.55pt;height:130.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" filled="f" strokecolor="white">
                <v:stroke startarrowwidth="narrow" startarrowlength="short" endarrowwidth="narrow" endarrowlength="short"/>
                <v:textbox inset="2.53958mm,1.2694mm,2.53958mm,1.2694mm">
                  <w:txbxContent>
                    <w:p w14:paraId="07FDEDB1" w14:textId="77777777" w:rsidR="0028644A" w:rsidRDefault="00D76856">
                      <w:pPr>
                        <w:jc w:val="center"/>
                        <w:textDirection w:val="btLr"/>
                      </w:pPr>
                      <w:r>
                        <w:rPr>
                          <w:rFonts w:ascii="標楷體" w:eastAsia="標楷體" w:hAnsi="標楷體" w:cs="標楷體"/>
                          <w:color w:val="000000"/>
                          <w:sz w:val="80"/>
                        </w:rPr>
                        <w:t>招標規範</w:t>
                      </w: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3BB80A32" wp14:editId="1E6BECD1">
                <wp:simplePos x="0" y="0"/>
                <wp:positionH relativeFrom="column">
                  <wp:posOffset>1295400</wp:posOffset>
                </wp:positionH>
                <wp:positionV relativeFrom="paragraph">
                  <wp:posOffset>6362700</wp:posOffset>
                </wp:positionV>
                <wp:extent cx="2468880" cy="619598"/>
                <wp:effectExtent l="0" t="0" r="0" b="0"/>
                <wp:wrapNone/>
                <wp:docPr id="7" name="矩形 7"/>
                <wp:cNvGraphicFramePr/>
                <a:graphic xmlns:a="http://schemas.openxmlformats.org/drawingml/2006/main">
                  <a:graphicData uri="http://schemas.microsoft.com/office/word/2010/wordprocessingShape">
                    <wps:wsp>
                      <wps:cNvSpPr/>
                      <wps:spPr>
                        <a:xfrm>
                          <a:off x="4125848" y="3486630"/>
                          <a:ext cx="2440305" cy="58674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5CD3A6FB" w14:textId="5F5C73FC" w:rsidR="0028644A" w:rsidRDefault="00D76856">
                            <w:pPr>
                              <w:jc w:val="center"/>
                              <w:textDirection w:val="btLr"/>
                            </w:pPr>
                            <w:r>
                              <w:rPr>
                                <w:rFonts w:ascii="標楷體" w:eastAsia="標楷體" w:hAnsi="標楷體" w:cs="標楷體"/>
                                <w:color w:val="000000"/>
                                <w:sz w:val="36"/>
                              </w:rPr>
                              <w:t>中華民國113年</w:t>
                            </w:r>
                            <w:r w:rsidR="002B5A52">
                              <w:rPr>
                                <w:rFonts w:ascii="標楷體" w:eastAsia="標楷體" w:hAnsi="標楷體" w:cs="標楷體" w:hint="eastAsia"/>
                                <w:color w:val="000000"/>
                                <w:sz w:val="36"/>
                              </w:rPr>
                              <w:t>9</w:t>
                            </w:r>
                            <w:r>
                              <w:rPr>
                                <w:rFonts w:ascii="標楷體" w:eastAsia="標楷體" w:hAnsi="標楷體" w:cs="標楷體"/>
                                <w:color w:val="000000"/>
                                <w:sz w:val="36"/>
                              </w:rPr>
                              <w:t>月</w:t>
                            </w:r>
                          </w:p>
                        </w:txbxContent>
                      </wps:txbx>
                      <wps:bodyPr spcFirstLastPara="1" wrap="square" lIns="91425" tIns="45700" rIns="91425" bIns="45700" anchor="ctr" anchorCtr="0">
                        <a:noAutofit/>
                      </wps:bodyPr>
                    </wps:wsp>
                  </a:graphicData>
                </a:graphic>
              </wp:anchor>
            </w:drawing>
          </mc:Choice>
          <mc:Fallback>
            <w:pict>
              <v:rect w14:anchorId="3BB80A32" id="矩形 7" o:spid="_x0000_s1027" style="position:absolute;left:0;text-align:left;margin-left:102pt;margin-top:501pt;width:194.4pt;height:48.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" strokecolor="white">
                <v:stroke startarrowwidth="narrow" startarrowlength="short" endarrowwidth="narrow" endarrowlength="short"/>
                <v:textbox inset="2.53958mm,1.2694mm,2.53958mm,1.2694mm">
                  <w:txbxContent>
                    <w:p w14:paraId="5CD3A6FB" w14:textId="5F5C73FC" w:rsidR="0028644A" w:rsidRDefault="00D76856">
                      <w:pPr>
                        <w:jc w:val="center"/>
                        <w:textDirection w:val="btLr"/>
                      </w:pPr>
                      <w:r>
                        <w:rPr>
                          <w:rFonts w:ascii="標楷體" w:eastAsia="標楷體" w:hAnsi="標楷體" w:cs="標楷體"/>
                          <w:color w:val="000000"/>
                          <w:sz w:val="36"/>
                        </w:rPr>
                        <w:t>中華民國113年</w:t>
                      </w:r>
                      <w:r w:rsidR="002B5A52">
                        <w:rPr>
                          <w:rFonts w:ascii="標楷體" w:eastAsia="標楷體" w:hAnsi="標楷體" w:cs="標楷體" w:hint="eastAsia"/>
                          <w:color w:val="000000"/>
                          <w:sz w:val="36"/>
                        </w:rPr>
                        <w:t>9</w:t>
                      </w:r>
                      <w:r>
                        <w:rPr>
                          <w:rFonts w:ascii="標楷體" w:eastAsia="標楷體" w:hAnsi="標楷體" w:cs="標楷體"/>
                          <w:color w:val="000000"/>
                          <w:sz w:val="36"/>
                        </w:rPr>
                        <w:t>月</w:t>
                      </w:r>
                    </w:p>
                  </w:txbxContent>
                </v:textbox>
              </v:rect>
            </w:pict>
          </mc:Fallback>
        </mc:AlternateContent>
      </w:r>
    </w:p>
    <w:p w14:paraId="7B2EECFA" w14:textId="77777777" w:rsidR="0028644A" w:rsidRDefault="00D76856">
      <w:pPr>
        <w:spacing w:after="106"/>
        <w:ind w:left="2604"/>
        <w:rPr>
          <w:rFonts w:ascii="Times New Roman" w:eastAsia="Times New Roman" w:hAnsi="Times New Roman" w:cs="Times New Roman"/>
          <w:b/>
          <w:sz w:val="32"/>
          <w:szCs w:val="32"/>
        </w:rPr>
      </w:pPr>
      <w:r>
        <w:rPr>
          <w:rFonts w:ascii="標楷體" w:eastAsia="標楷體" w:hAnsi="標楷體" w:cs="標楷體"/>
          <w:sz w:val="32"/>
          <w:szCs w:val="32"/>
          <w:u w:val="single"/>
        </w:rPr>
        <w:lastRenderedPageBreak/>
        <w:t>招</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標</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規</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範</w:t>
      </w:r>
      <w:r>
        <w:rPr>
          <w:rFonts w:ascii="Times New Roman" w:eastAsia="Times New Roman" w:hAnsi="Times New Roman" w:cs="Times New Roman"/>
          <w:b/>
          <w:sz w:val="32"/>
          <w:szCs w:val="32"/>
        </w:rPr>
        <w:t xml:space="preserve"> </w:t>
      </w:r>
    </w:p>
    <w:p w14:paraId="524622C3" w14:textId="77777777" w:rsidR="0028644A" w:rsidRDefault="00D76856">
      <w:pPr>
        <w:spacing w:after="106"/>
        <w:rPr>
          <w:rFonts w:ascii="標楷體" w:eastAsia="標楷體" w:hAnsi="標楷體" w:cs="標楷體"/>
        </w:rPr>
      </w:pPr>
      <w:r>
        <w:rPr>
          <w:rFonts w:ascii="標楷體" w:eastAsia="標楷體" w:hAnsi="標楷體" w:cs="標楷體"/>
        </w:rPr>
        <w:t xml:space="preserve"> </w:t>
      </w:r>
    </w:p>
    <w:p w14:paraId="67B07B10" w14:textId="77777777" w:rsidR="0028644A" w:rsidRDefault="00D76856">
      <w:pPr>
        <w:spacing w:after="100"/>
        <w:ind w:left="960" w:hanging="480"/>
        <w:rPr>
          <w:rFonts w:ascii="標楷體" w:eastAsia="標楷體" w:hAnsi="標楷體" w:cs="標楷體"/>
          <w:color w:val="FF0000"/>
        </w:rPr>
      </w:pPr>
      <w:r>
        <w:rPr>
          <w:rFonts w:ascii="標楷體" w:eastAsia="標楷體" w:hAnsi="標楷體" w:cs="標楷體"/>
        </w:rPr>
        <w:t>一、標的名稱：</w:t>
      </w:r>
      <w:r>
        <w:rPr>
          <w:rFonts w:ascii="標楷體" w:eastAsia="標楷體" w:hAnsi="標楷體" w:cs="標楷體"/>
          <w:color w:val="FF0000"/>
        </w:rPr>
        <w:t>「113年度新媒體部防火牆設備更新」採購案</w:t>
      </w:r>
    </w:p>
    <w:p w14:paraId="786E080D" w14:textId="77777777" w:rsidR="0028644A" w:rsidRDefault="00D76856">
      <w:pPr>
        <w:spacing w:after="100"/>
        <w:ind w:left="960" w:hanging="480"/>
        <w:rPr>
          <w:rFonts w:ascii="標楷體" w:eastAsia="標楷體" w:hAnsi="標楷體" w:cs="標楷體"/>
        </w:rPr>
      </w:pPr>
      <w:r>
        <w:rPr>
          <w:rFonts w:ascii="標楷體" w:eastAsia="標楷體" w:hAnsi="標楷體" w:cs="標楷體"/>
        </w:rPr>
        <w:t>二、需求通則：</w:t>
      </w:r>
    </w:p>
    <w:p w14:paraId="3037C280" w14:textId="77777777" w:rsidR="0028644A" w:rsidRDefault="00D76856">
      <w:pPr>
        <w:spacing w:after="100"/>
        <w:ind w:left="1440" w:hanging="480"/>
        <w:jc w:val="both"/>
        <w:rPr>
          <w:rFonts w:ascii="標楷體" w:eastAsia="標楷體" w:hAnsi="標楷體" w:cs="標楷體"/>
        </w:rPr>
      </w:pPr>
      <w:r>
        <w:rPr>
          <w:rFonts w:ascii="標楷體" w:eastAsia="標楷體" w:hAnsi="標楷體" w:cs="標楷體"/>
        </w:rPr>
        <w:t>(一)得標廠商(或稱立約商或廠商)負責本案「新媒體部防火牆更新」之交貨、安裝及測試。</w:t>
      </w:r>
    </w:p>
    <w:p w14:paraId="662D7201" w14:textId="77777777" w:rsidR="0028644A" w:rsidRDefault="00D76856">
      <w:pPr>
        <w:spacing w:after="100"/>
        <w:ind w:left="1440" w:hanging="480"/>
        <w:jc w:val="both"/>
        <w:rPr>
          <w:rFonts w:ascii="標楷體" w:eastAsia="標楷體" w:hAnsi="標楷體" w:cs="標楷體"/>
        </w:rPr>
      </w:pPr>
      <w:r>
        <w:rPr>
          <w:rFonts w:ascii="標楷體" w:eastAsia="標楷體" w:hAnsi="標楷體" w:cs="標楷體"/>
        </w:rPr>
        <w:t>(二)得標廠商需提供足夠安裝所需之機櫃零件，包含但不限於電源排插、電源轉接頭、層板、滑軌套件、螺絲及裝卸工具等相關配件以供本案使用。並負責本案軟硬體佈線施作、安裝及測試等作業。</w:t>
      </w:r>
    </w:p>
    <w:p w14:paraId="787B7178" w14:textId="77777777" w:rsidR="0028644A" w:rsidRDefault="00D76856">
      <w:pPr>
        <w:spacing w:after="100"/>
        <w:ind w:left="1440" w:hanging="480"/>
        <w:jc w:val="both"/>
        <w:rPr>
          <w:rFonts w:ascii="標楷體" w:eastAsia="標楷體" w:hAnsi="標楷體" w:cs="標楷體"/>
        </w:rPr>
      </w:pPr>
      <w:r>
        <w:rPr>
          <w:rFonts w:ascii="標楷體" w:eastAsia="標楷體" w:hAnsi="標楷體" w:cs="標楷體"/>
        </w:rPr>
        <w:t>(三)得標廠商需執行本案顧問諮詢、操作教育訓練及保固期間之維護作業。應指派一人為單一窗口專案負責人(工程師)，與中華電視股份有限公司(以下簡稱本公司)之指定人員協同合作；自議價得標日起，至保固服務結束日止，與本公司相關人員配合，提供技術服務顧問與保固維修工作事宜。任何必須整合本公司與得標廠商資源之維運工作均由得標廠商負責協調。</w:t>
      </w:r>
    </w:p>
    <w:p w14:paraId="32BCF205" w14:textId="77777777" w:rsidR="0028644A" w:rsidRDefault="00D76856">
      <w:pPr>
        <w:spacing w:after="100"/>
        <w:ind w:left="1440" w:hanging="480"/>
        <w:jc w:val="both"/>
        <w:rPr>
          <w:rFonts w:ascii="標楷體" w:eastAsia="標楷體" w:hAnsi="標楷體" w:cs="標楷體"/>
        </w:rPr>
      </w:pPr>
      <w:r>
        <w:rPr>
          <w:rFonts w:ascii="標楷體" w:eastAsia="標楷體" w:hAnsi="標楷體" w:cs="標楷體"/>
        </w:rPr>
        <w:t>(四)有關本案採購設備之統籌規劃及施作協調均由本案得標廠商完全負責。若得標廠商提供之設備經實測無法達到預期功能或驗收標準，需自行增補設備至可以順利達成為止，對此得標廠商不得要求增加契約金額。</w:t>
      </w:r>
    </w:p>
    <w:p w14:paraId="159D732D" w14:textId="77777777" w:rsidR="0028644A" w:rsidRDefault="00D76856">
      <w:pPr>
        <w:spacing w:after="100"/>
        <w:ind w:left="1440" w:hanging="480"/>
        <w:jc w:val="both"/>
        <w:rPr>
          <w:rFonts w:ascii="標楷體" w:eastAsia="標楷體" w:hAnsi="標楷體" w:cs="標楷體"/>
        </w:rPr>
      </w:pPr>
      <w:r>
        <w:rPr>
          <w:rFonts w:ascii="標楷體" w:eastAsia="標楷體" w:hAnsi="標楷體" w:cs="標楷體"/>
        </w:rPr>
        <w:t>(五)所有提供之軟硬體設備(含安裝、測試及教育訓練課程)均應包含在契約價款總額，不得於事後做任何增加契約金額的要求。</w:t>
      </w:r>
    </w:p>
    <w:p w14:paraId="54583227" w14:textId="77777777" w:rsidR="0028644A" w:rsidRDefault="00D76856">
      <w:pPr>
        <w:spacing w:after="100"/>
        <w:ind w:left="1440" w:hanging="480"/>
        <w:jc w:val="both"/>
        <w:rPr>
          <w:rFonts w:ascii="標楷體" w:eastAsia="標楷體" w:hAnsi="標楷體" w:cs="標楷體"/>
        </w:rPr>
      </w:pPr>
      <w:r>
        <w:rPr>
          <w:rFonts w:ascii="標楷體" w:eastAsia="標楷體" w:hAnsi="標楷體" w:cs="標楷體"/>
        </w:rPr>
        <w:t>(六)本案採購之軟硬體設備每套皆須含全套正本之相關手冊或電子檔ㄧ套，於交貨時交付本公司，上述所衍生之相關費用由得標廠商自行負擔，原廠隨機附贈之相關光碟者仍需免費提供本公司。</w:t>
      </w:r>
    </w:p>
    <w:p w14:paraId="5688F3D5" w14:textId="77777777" w:rsidR="0028644A" w:rsidRDefault="00D76856">
      <w:pPr>
        <w:spacing w:after="100"/>
        <w:ind w:left="1440" w:hanging="480"/>
        <w:jc w:val="both"/>
        <w:rPr>
          <w:rFonts w:ascii="標楷體" w:eastAsia="標楷體" w:hAnsi="標楷體" w:cs="標楷體"/>
        </w:rPr>
      </w:pPr>
      <w:r>
        <w:rPr>
          <w:rFonts w:ascii="標楷體" w:eastAsia="標楷體" w:hAnsi="標楷體" w:cs="標楷體"/>
        </w:rPr>
        <w:t>(七)本案採購之軟硬體設備不得為中國品牌。</w:t>
      </w:r>
    </w:p>
    <w:p w14:paraId="5EFF2145" w14:textId="77777777" w:rsidR="0028644A" w:rsidRDefault="00D76856">
      <w:pPr>
        <w:spacing w:after="100"/>
        <w:ind w:left="1440" w:hanging="480"/>
        <w:jc w:val="both"/>
        <w:rPr>
          <w:rFonts w:ascii="標楷體" w:eastAsia="標楷體" w:hAnsi="標楷體" w:cs="標楷體"/>
        </w:rPr>
      </w:pPr>
      <w:r>
        <w:rPr>
          <w:rFonts w:ascii="標楷體" w:eastAsia="標楷體" w:hAnsi="標楷體" w:cs="標楷體"/>
        </w:rPr>
        <w:t>(八)得標廠商簽約日後7個工作天內派遣工程人員會同本案相關人員至現場會勘，並於簽約日後一個月內提供全案設備等之完整接線圖、系統方塊圖等。</w:t>
      </w:r>
    </w:p>
    <w:p w14:paraId="7CAC4DAC" w14:textId="77777777" w:rsidR="0028644A" w:rsidRDefault="00D76856">
      <w:pPr>
        <w:spacing w:after="100"/>
        <w:ind w:left="1440" w:hanging="480"/>
        <w:jc w:val="both"/>
        <w:rPr>
          <w:rFonts w:ascii="標楷體" w:eastAsia="標楷體" w:hAnsi="標楷體" w:cs="標楷體"/>
        </w:rPr>
      </w:pPr>
      <w:r>
        <w:rPr>
          <w:rFonts w:ascii="標楷體" w:eastAsia="標楷體" w:hAnsi="標楷體" w:cs="標楷體"/>
        </w:rPr>
        <w:t>(九)施工期間得標廠商商須派遣合格技術人員全程在現場指導施工，並檢查核對所有線路配線，以確保品質及工作安全。施工期間須確保系統不能有中斷情形。</w:t>
      </w:r>
    </w:p>
    <w:p w14:paraId="792CB81E" w14:textId="77777777" w:rsidR="0028644A" w:rsidRDefault="00D76856">
      <w:pPr>
        <w:spacing w:after="100"/>
        <w:ind w:left="1440" w:hanging="480"/>
        <w:jc w:val="both"/>
        <w:rPr>
          <w:rFonts w:ascii="標楷體" w:eastAsia="標楷體" w:hAnsi="標楷體" w:cs="標楷體"/>
        </w:rPr>
      </w:pPr>
      <w:r>
        <w:rPr>
          <w:rFonts w:ascii="標楷體" w:eastAsia="標楷體" w:hAnsi="標楷體" w:cs="標楷體"/>
        </w:rPr>
        <w:t>(十)得標廠商於專案建置階段所知悉本公司之相關網路架構資訊(包含但不限路由設定、IP資訊、個人資料等)，皆須負保密責任，不得轉知與專案無關之人員，並需於雙方之合約中載明保密規定。</w:t>
      </w:r>
    </w:p>
    <w:p w14:paraId="43A041D2" w14:textId="77777777" w:rsidR="0028644A" w:rsidRDefault="00D76856">
      <w:pPr>
        <w:spacing w:after="100"/>
        <w:ind w:left="1440" w:hanging="480"/>
        <w:jc w:val="both"/>
        <w:rPr>
          <w:rFonts w:ascii="標楷體" w:eastAsia="標楷體" w:hAnsi="標楷體" w:cs="標楷體"/>
        </w:rPr>
      </w:pPr>
      <w:r>
        <w:rPr>
          <w:rFonts w:ascii="標楷體" w:eastAsia="標楷體" w:hAnsi="標楷體" w:cs="標楷體"/>
        </w:rPr>
        <w:t>(十一)為確保建置期間之資通訊安全，得標廠商須訂有緊急應變程序，避免因事故發生時本公司遭受事故之影響而中斷服務。</w:t>
      </w:r>
    </w:p>
    <w:p w14:paraId="7609F6EB" w14:textId="77777777" w:rsidR="0028644A" w:rsidRDefault="00D76856">
      <w:pPr>
        <w:spacing w:after="100"/>
        <w:ind w:left="1440" w:hanging="480"/>
        <w:jc w:val="both"/>
        <w:rPr>
          <w:rFonts w:ascii="標楷體" w:eastAsia="標楷體" w:hAnsi="標楷體" w:cs="標楷體"/>
        </w:rPr>
      </w:pPr>
      <w:r>
        <w:rPr>
          <w:rFonts w:ascii="標楷體" w:eastAsia="標楷體" w:hAnsi="標楷體" w:cs="標楷體"/>
        </w:rPr>
        <w:t>(十二)本案所提供之硬體需為113年後出廠之設備。</w:t>
      </w:r>
    </w:p>
    <w:p w14:paraId="77528935" w14:textId="77777777" w:rsidR="0028644A" w:rsidRDefault="00D76856">
      <w:pPr>
        <w:spacing w:after="100"/>
        <w:ind w:left="1440" w:hanging="480"/>
        <w:jc w:val="both"/>
        <w:rPr>
          <w:rFonts w:ascii="標楷體" w:eastAsia="標楷體" w:hAnsi="標楷體" w:cs="標楷體"/>
        </w:rPr>
      </w:pPr>
      <w:r>
        <w:rPr>
          <w:rFonts w:ascii="標楷體" w:eastAsia="標楷體" w:hAnsi="標楷體" w:cs="標楷體"/>
        </w:rPr>
        <w:t>(十三)廠商及複委託之廠商不得為經濟部投資審議委員會公告之陸資資訊服務業者並須具備ISO27001與PALO ALTO NETWORKS PCNSE證</w:t>
      </w:r>
      <w:r>
        <w:rPr>
          <w:rFonts w:ascii="標楷體" w:eastAsia="標楷體" w:hAnsi="標楷體" w:cs="標楷體"/>
        </w:rPr>
        <w:lastRenderedPageBreak/>
        <w:t>照。</w:t>
      </w:r>
    </w:p>
    <w:p w14:paraId="3466AF90" w14:textId="77777777" w:rsidR="0028644A" w:rsidRDefault="00D76856">
      <w:pPr>
        <w:spacing w:after="100"/>
        <w:ind w:left="1440" w:hanging="480"/>
        <w:jc w:val="both"/>
        <w:rPr>
          <w:rFonts w:ascii="標楷體" w:eastAsia="標楷體" w:hAnsi="標楷體" w:cs="標楷體"/>
        </w:rPr>
      </w:pPr>
      <w:r>
        <w:rPr>
          <w:rFonts w:ascii="標楷體" w:eastAsia="標楷體" w:hAnsi="標楷體" w:cs="標楷體"/>
        </w:rPr>
        <w:t>(十四)得標廠商須於全案驗收合格日之次日起提供每年專案標的物弱點掃描服務及每半年保設備維護檢查，得標廠商需提供弱點掃描服務報告書。</w:t>
      </w:r>
    </w:p>
    <w:p w14:paraId="626A0426" w14:textId="77777777" w:rsidR="0028644A" w:rsidRDefault="00D76856">
      <w:pPr>
        <w:spacing w:after="100"/>
        <w:ind w:left="960" w:hanging="480"/>
        <w:rPr>
          <w:rFonts w:ascii="標楷體" w:eastAsia="標楷體" w:hAnsi="標楷體" w:cs="標楷體"/>
        </w:rPr>
      </w:pPr>
      <w:r>
        <w:rPr>
          <w:rFonts w:ascii="標楷體" w:eastAsia="標楷體" w:hAnsi="標楷體" w:cs="標楷體"/>
        </w:rPr>
        <w:t>三、計劃書：</w:t>
      </w:r>
    </w:p>
    <w:p w14:paraId="182E01AB" w14:textId="77777777" w:rsidR="0028644A" w:rsidRDefault="00D76856">
      <w:pPr>
        <w:spacing w:after="100"/>
        <w:ind w:left="480"/>
        <w:rPr>
          <w:rFonts w:ascii="標楷體" w:eastAsia="標楷體" w:hAnsi="標楷體" w:cs="標楷體"/>
        </w:rPr>
      </w:pPr>
      <w:r>
        <w:rPr>
          <w:rFonts w:ascii="標楷體" w:eastAsia="標楷體" w:hAnsi="標楷體" w:cs="標楷體"/>
        </w:rPr>
        <w:t>計劃書內容須包含以下項目</w:t>
      </w:r>
    </w:p>
    <w:p w14:paraId="3802CB1F" w14:textId="77777777" w:rsidR="0028644A" w:rsidRDefault="00D76856">
      <w:pPr>
        <w:numPr>
          <w:ilvl w:val="0"/>
          <w:numId w:val="1"/>
        </w:numPr>
        <w:pBdr>
          <w:top w:val="nil"/>
          <w:left w:val="nil"/>
          <w:bottom w:val="nil"/>
          <w:right w:val="nil"/>
          <w:between w:val="nil"/>
        </w:pBdr>
        <w:spacing w:after="100"/>
        <w:rPr>
          <w:rFonts w:ascii="標楷體" w:eastAsia="標楷體" w:hAnsi="標楷體" w:cs="標楷體"/>
          <w:color w:val="000000"/>
          <w:szCs w:val="24"/>
        </w:rPr>
      </w:pPr>
      <w:r>
        <w:rPr>
          <w:rFonts w:ascii="標楷體" w:eastAsia="標楷體" w:hAnsi="標楷體" w:cs="標楷體"/>
          <w:color w:val="000000"/>
          <w:szCs w:val="24"/>
        </w:rPr>
        <w:t>廠商所提供之設備規格明細表，並註記所對應下表「規格需求」之項次編號</w:t>
      </w:r>
    </w:p>
    <w:p w14:paraId="5E374179" w14:textId="77777777" w:rsidR="0028644A" w:rsidRDefault="00D76856">
      <w:pPr>
        <w:numPr>
          <w:ilvl w:val="0"/>
          <w:numId w:val="1"/>
        </w:numPr>
        <w:pBdr>
          <w:top w:val="nil"/>
          <w:left w:val="nil"/>
          <w:bottom w:val="nil"/>
          <w:right w:val="nil"/>
          <w:between w:val="nil"/>
        </w:pBdr>
        <w:spacing w:after="100"/>
        <w:rPr>
          <w:rFonts w:ascii="標楷體" w:eastAsia="標楷體" w:hAnsi="標楷體" w:cs="標楷體"/>
          <w:color w:val="000000"/>
          <w:szCs w:val="24"/>
        </w:rPr>
      </w:pPr>
      <w:r>
        <w:rPr>
          <w:rFonts w:ascii="標楷體" w:eastAsia="標楷體" w:hAnsi="標楷體" w:cs="標楷體"/>
          <w:color w:val="000000"/>
          <w:szCs w:val="24"/>
        </w:rPr>
        <w:t>系統安裝上線步驟(包含系統還原策略)。</w:t>
      </w:r>
    </w:p>
    <w:p w14:paraId="08D7974D" w14:textId="77777777" w:rsidR="0028644A" w:rsidRDefault="00D76856">
      <w:pPr>
        <w:spacing w:after="100"/>
        <w:ind w:left="1440" w:hanging="480"/>
        <w:rPr>
          <w:rFonts w:ascii="標楷體" w:eastAsia="標楷體" w:hAnsi="標楷體" w:cs="標楷體"/>
        </w:rPr>
      </w:pPr>
      <w:r>
        <w:rPr>
          <w:rFonts w:ascii="標楷體" w:eastAsia="標楷體" w:hAnsi="標楷體" w:cs="標楷體"/>
        </w:rPr>
        <w:t>(三)本案執行內容所規定之安裝服務(如下表「規格需求」備註第七項)，廠商所提供之安裝步驟流程說明、安裝完成驗證方式說明。</w:t>
      </w:r>
    </w:p>
    <w:p w14:paraId="51D41E5E" w14:textId="77777777" w:rsidR="0028644A" w:rsidRDefault="00D76856">
      <w:pPr>
        <w:spacing w:after="100"/>
        <w:ind w:left="960" w:hanging="480"/>
        <w:rPr>
          <w:rFonts w:ascii="標楷體" w:eastAsia="標楷體" w:hAnsi="標楷體" w:cs="標楷體"/>
        </w:rPr>
      </w:pPr>
      <w:r>
        <w:rPr>
          <w:rFonts w:ascii="標楷體" w:eastAsia="標楷體" w:hAnsi="標楷體" w:cs="標楷體"/>
        </w:rPr>
        <w:t xml:space="preserve">四、規格需求：              </w:t>
      </w:r>
    </w:p>
    <w:tbl>
      <w:tblPr>
        <w:tblStyle w:val="af4"/>
        <w:tblW w:w="9420" w:type="dxa"/>
        <w:tblInd w:w="-28" w:type="dxa"/>
        <w:tblLayout w:type="fixed"/>
        <w:tblLook w:val="0400" w:firstRow="0" w:lastRow="0" w:firstColumn="0" w:lastColumn="0" w:noHBand="0" w:noVBand="1"/>
      </w:tblPr>
      <w:tblGrid>
        <w:gridCol w:w="750"/>
        <w:gridCol w:w="1110"/>
        <w:gridCol w:w="6090"/>
        <w:gridCol w:w="720"/>
        <w:gridCol w:w="750"/>
      </w:tblGrid>
      <w:tr w:rsidR="0028644A" w14:paraId="508D27AD" w14:textId="77777777">
        <w:trPr>
          <w:trHeight w:val="406"/>
        </w:trPr>
        <w:tc>
          <w:tcPr>
            <w:tcW w:w="750" w:type="dxa"/>
            <w:tcBorders>
              <w:top w:val="single" w:sz="12" w:space="0" w:color="000000"/>
              <w:left w:val="single" w:sz="12" w:space="0" w:color="000000"/>
              <w:bottom w:val="single" w:sz="6" w:space="0" w:color="000000"/>
              <w:right w:val="single" w:sz="12" w:space="0" w:color="000000"/>
            </w:tcBorders>
          </w:tcPr>
          <w:p w14:paraId="519DDB3B" w14:textId="77777777" w:rsidR="0028644A" w:rsidRDefault="00D76856">
            <w:pPr>
              <w:ind w:left="134"/>
              <w:jc w:val="both"/>
              <w:rPr>
                <w:rFonts w:ascii="標楷體" w:eastAsia="標楷體" w:hAnsi="標楷體" w:cs="標楷體"/>
              </w:rPr>
            </w:pPr>
            <w:r>
              <w:rPr>
                <w:rFonts w:ascii="標楷體" w:eastAsia="標楷體" w:hAnsi="標楷體" w:cs="標楷體"/>
              </w:rPr>
              <w:t>項次</w:t>
            </w:r>
            <w:r>
              <w:rPr>
                <w:rFonts w:ascii="標楷體" w:eastAsia="標楷體" w:hAnsi="標楷體" w:cs="標楷體"/>
                <w:b/>
              </w:rPr>
              <w:t xml:space="preserve"> </w:t>
            </w:r>
          </w:p>
        </w:tc>
        <w:tc>
          <w:tcPr>
            <w:tcW w:w="1110" w:type="dxa"/>
            <w:tcBorders>
              <w:top w:val="single" w:sz="12" w:space="0" w:color="000000"/>
              <w:left w:val="single" w:sz="12" w:space="0" w:color="000000"/>
              <w:bottom w:val="single" w:sz="6" w:space="0" w:color="000000"/>
              <w:right w:val="single" w:sz="12" w:space="0" w:color="000000"/>
            </w:tcBorders>
          </w:tcPr>
          <w:p w14:paraId="2FF05388" w14:textId="77777777" w:rsidR="0028644A" w:rsidRDefault="00D76856">
            <w:pPr>
              <w:ind w:left="61"/>
              <w:jc w:val="center"/>
              <w:rPr>
                <w:rFonts w:ascii="標楷體" w:eastAsia="標楷體" w:hAnsi="標楷體" w:cs="標楷體"/>
              </w:rPr>
            </w:pPr>
            <w:r>
              <w:rPr>
                <w:rFonts w:ascii="標楷體" w:eastAsia="標楷體" w:hAnsi="標楷體" w:cs="標楷體"/>
              </w:rPr>
              <w:t>品   名</w:t>
            </w:r>
            <w:r>
              <w:rPr>
                <w:rFonts w:ascii="標楷體" w:eastAsia="標楷體" w:hAnsi="標楷體" w:cs="標楷體"/>
                <w:b/>
              </w:rPr>
              <w:t xml:space="preserve"> </w:t>
            </w:r>
          </w:p>
        </w:tc>
        <w:tc>
          <w:tcPr>
            <w:tcW w:w="6090" w:type="dxa"/>
            <w:tcBorders>
              <w:top w:val="single" w:sz="12" w:space="0" w:color="000000"/>
              <w:left w:val="single" w:sz="12" w:space="0" w:color="000000"/>
              <w:bottom w:val="single" w:sz="6" w:space="0" w:color="000000"/>
              <w:right w:val="single" w:sz="12" w:space="0" w:color="000000"/>
            </w:tcBorders>
          </w:tcPr>
          <w:p w14:paraId="31C14DDE" w14:textId="77777777" w:rsidR="0028644A" w:rsidRDefault="00D76856">
            <w:pPr>
              <w:ind w:left="61"/>
              <w:jc w:val="center"/>
              <w:rPr>
                <w:rFonts w:ascii="標楷體" w:eastAsia="標楷體" w:hAnsi="標楷體" w:cs="標楷體"/>
              </w:rPr>
            </w:pPr>
            <w:r>
              <w:rPr>
                <w:rFonts w:ascii="標楷體" w:eastAsia="標楷體" w:hAnsi="標楷體" w:cs="標楷體"/>
              </w:rPr>
              <w:t>規</w:t>
            </w:r>
            <w:r>
              <w:rPr>
                <w:rFonts w:ascii="標楷體" w:eastAsia="標楷體" w:hAnsi="標楷體" w:cs="標楷體"/>
                <w:b/>
              </w:rPr>
              <w:t xml:space="preserve">       </w:t>
            </w:r>
            <w:r>
              <w:rPr>
                <w:rFonts w:ascii="標楷體" w:eastAsia="標楷體" w:hAnsi="標楷體" w:cs="標楷體"/>
              </w:rPr>
              <w:t>格</w:t>
            </w:r>
            <w:r>
              <w:rPr>
                <w:rFonts w:ascii="標楷體" w:eastAsia="標楷體" w:hAnsi="標楷體" w:cs="標楷體"/>
                <w:b/>
              </w:rPr>
              <w:t xml:space="preserve"> </w:t>
            </w:r>
          </w:p>
        </w:tc>
        <w:tc>
          <w:tcPr>
            <w:tcW w:w="720" w:type="dxa"/>
            <w:tcBorders>
              <w:top w:val="single" w:sz="12" w:space="0" w:color="000000"/>
              <w:left w:val="single" w:sz="12" w:space="0" w:color="000000"/>
              <w:bottom w:val="single" w:sz="6" w:space="0" w:color="000000"/>
              <w:right w:val="single" w:sz="12" w:space="0" w:color="000000"/>
            </w:tcBorders>
          </w:tcPr>
          <w:p w14:paraId="5FD4FFBC" w14:textId="77777777" w:rsidR="0028644A" w:rsidRDefault="00D76856">
            <w:pPr>
              <w:ind w:left="119"/>
              <w:jc w:val="both"/>
              <w:rPr>
                <w:rFonts w:ascii="標楷體" w:eastAsia="標楷體" w:hAnsi="標楷體" w:cs="標楷體"/>
              </w:rPr>
            </w:pPr>
            <w:r>
              <w:rPr>
                <w:rFonts w:ascii="標楷體" w:eastAsia="標楷體" w:hAnsi="標楷體" w:cs="標楷體"/>
              </w:rPr>
              <w:t>單位</w:t>
            </w:r>
            <w:r>
              <w:rPr>
                <w:rFonts w:ascii="標楷體" w:eastAsia="標楷體" w:hAnsi="標楷體" w:cs="標楷體"/>
                <w:b/>
              </w:rPr>
              <w:t xml:space="preserve"> </w:t>
            </w:r>
          </w:p>
        </w:tc>
        <w:tc>
          <w:tcPr>
            <w:tcW w:w="750" w:type="dxa"/>
            <w:tcBorders>
              <w:top w:val="single" w:sz="12" w:space="0" w:color="000000"/>
              <w:left w:val="single" w:sz="12" w:space="0" w:color="000000"/>
              <w:bottom w:val="single" w:sz="6" w:space="0" w:color="000000"/>
              <w:right w:val="single" w:sz="12" w:space="0" w:color="000000"/>
            </w:tcBorders>
          </w:tcPr>
          <w:p w14:paraId="0963B115" w14:textId="77777777" w:rsidR="0028644A" w:rsidRDefault="00D76856">
            <w:pPr>
              <w:ind w:left="134"/>
              <w:jc w:val="both"/>
              <w:rPr>
                <w:rFonts w:ascii="標楷體" w:eastAsia="標楷體" w:hAnsi="標楷體" w:cs="標楷體"/>
              </w:rPr>
            </w:pPr>
            <w:r>
              <w:rPr>
                <w:rFonts w:ascii="標楷體" w:eastAsia="標楷體" w:hAnsi="標楷體" w:cs="標楷體"/>
              </w:rPr>
              <w:t>數量</w:t>
            </w:r>
          </w:p>
        </w:tc>
      </w:tr>
      <w:tr w:rsidR="0028644A" w14:paraId="1D0DA77E" w14:textId="77777777">
        <w:trPr>
          <w:trHeight w:val="1499"/>
        </w:trPr>
        <w:tc>
          <w:tcPr>
            <w:tcW w:w="750" w:type="dxa"/>
            <w:tcBorders>
              <w:top w:val="single" w:sz="6" w:space="0" w:color="000000"/>
              <w:left w:val="single" w:sz="12" w:space="0" w:color="000000"/>
              <w:right w:val="single" w:sz="12" w:space="0" w:color="000000"/>
            </w:tcBorders>
          </w:tcPr>
          <w:p w14:paraId="523808C4" w14:textId="77777777" w:rsidR="0028644A" w:rsidRDefault="00D76856">
            <w:pPr>
              <w:spacing w:after="60"/>
              <w:ind w:left="61"/>
              <w:jc w:val="center"/>
              <w:rPr>
                <w:rFonts w:ascii="標楷體" w:eastAsia="標楷體" w:hAnsi="標楷體" w:cs="標楷體"/>
              </w:rPr>
            </w:pPr>
            <w:r>
              <w:rPr>
                <w:rFonts w:ascii="標楷體" w:eastAsia="標楷體" w:hAnsi="標楷體" w:cs="標楷體"/>
              </w:rPr>
              <w:t xml:space="preserve">1 </w:t>
            </w:r>
          </w:p>
        </w:tc>
        <w:tc>
          <w:tcPr>
            <w:tcW w:w="1110" w:type="dxa"/>
            <w:tcBorders>
              <w:top w:val="single" w:sz="6" w:space="0" w:color="000000"/>
              <w:left w:val="single" w:sz="12" w:space="0" w:color="000000"/>
              <w:bottom w:val="single" w:sz="4" w:space="0" w:color="000000"/>
              <w:right w:val="single" w:sz="12" w:space="0" w:color="000000"/>
            </w:tcBorders>
          </w:tcPr>
          <w:p w14:paraId="4AB516C7" w14:textId="77777777" w:rsidR="0028644A" w:rsidRDefault="00D76856">
            <w:pPr>
              <w:spacing w:after="41"/>
              <w:ind w:left="59"/>
              <w:jc w:val="center"/>
              <w:rPr>
                <w:rFonts w:ascii="標楷體" w:eastAsia="標楷體" w:hAnsi="標楷體" w:cs="標楷體"/>
              </w:rPr>
            </w:pPr>
            <w:r>
              <w:rPr>
                <w:rFonts w:ascii="標楷體" w:eastAsia="標楷體" w:hAnsi="標楷體" w:cs="標楷體"/>
              </w:rPr>
              <w:t xml:space="preserve">防火牆設備  </w:t>
            </w:r>
          </w:p>
        </w:tc>
        <w:tc>
          <w:tcPr>
            <w:tcW w:w="6090" w:type="dxa"/>
            <w:tcBorders>
              <w:top w:val="single" w:sz="6" w:space="0" w:color="000000"/>
              <w:left w:val="single" w:sz="12" w:space="0" w:color="000000"/>
              <w:bottom w:val="single" w:sz="4" w:space="0" w:color="000000"/>
              <w:right w:val="single" w:sz="12" w:space="0" w:color="000000"/>
            </w:tcBorders>
          </w:tcPr>
          <w:p w14:paraId="2037A663"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單台設備採用CPU晶片模組設計並使用嵌入式或專屬作業系統，本身提供 12 埠(含)以上10 / 100 / 1000 Mbps(含)以上UTP介面和 2 埠(含)以上 GE SFP 插槽及 8 埠(含)以上10 GE SFP+ 插槽並提供雙電源供應</w:t>
            </w:r>
            <w:r>
              <w:rPr>
                <w:rFonts w:ascii="標楷體" w:eastAsia="標楷體" w:hAnsi="標楷體" w:cs="標楷體"/>
                <w:color w:val="000000"/>
              </w:rPr>
              <w:t xml:space="preserve">。 </w:t>
            </w:r>
          </w:p>
          <w:p w14:paraId="11F6F27E"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系統最大連線數 ( Concurrent Sessions ) 須達 1.4 Million個(含)以上，以及新增連線數 ( New Sessions ) 須達 140,000 個(含)以上</w:t>
            </w:r>
            <w:r>
              <w:rPr>
                <w:rFonts w:ascii="標楷體" w:eastAsia="標楷體" w:hAnsi="標楷體" w:cs="標楷體"/>
                <w:color w:val="000000"/>
              </w:rPr>
              <w:t xml:space="preserve">。 </w:t>
            </w:r>
          </w:p>
          <w:p w14:paraId="49C18D09"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提供最高達 5,000 個(含)以上防火牆策略 ( Firewall Policy )</w:t>
            </w:r>
            <w:r>
              <w:rPr>
                <w:rFonts w:ascii="標楷體" w:eastAsia="標楷體" w:hAnsi="標楷體" w:cs="標楷體"/>
                <w:color w:val="000000"/>
              </w:rPr>
              <w:t xml:space="preserve">。 </w:t>
            </w:r>
          </w:p>
          <w:p w14:paraId="214C7421"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單台設備提供單一系統下同時運行旁接(SPAN)模式和路由(Routed)模式和透通(Transparent)模式和NAT模式等以上模式或提供同時啟用具備 25個(含)以上虛擬防火牆功能來達成以上功能</w:t>
            </w:r>
            <w:r>
              <w:rPr>
                <w:rFonts w:ascii="標楷體" w:eastAsia="標楷體" w:hAnsi="標楷體" w:cs="標楷體"/>
                <w:color w:val="000000"/>
              </w:rPr>
              <w:t xml:space="preserve">。 </w:t>
            </w:r>
          </w:p>
          <w:p w14:paraId="0D0FD202"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單台設備提供威脅防護(同時啟用應用程式識別和入侵防禦偵測和防毒和網頁內容和日誌記錄等)處理效能Throughput 須達 5.8 Gbps (含)以上</w:t>
            </w:r>
            <w:r>
              <w:rPr>
                <w:rFonts w:ascii="標楷體" w:eastAsia="標楷體" w:hAnsi="標楷體" w:cs="標楷體"/>
                <w:color w:val="000000"/>
              </w:rPr>
              <w:t xml:space="preserve">。 </w:t>
            </w:r>
          </w:p>
          <w:p w14:paraId="32F85D29"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須具備SSH、SNMP v1/v2/v3及 WebUI 等管理方式</w:t>
            </w:r>
            <w:r>
              <w:rPr>
                <w:rFonts w:ascii="標楷體" w:eastAsia="標楷體" w:hAnsi="標楷體" w:cs="標楷體"/>
                <w:color w:val="000000"/>
              </w:rPr>
              <w:t xml:space="preserve">。 </w:t>
            </w:r>
          </w:p>
          <w:p w14:paraId="7D1ABDD7"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主機內部需具備1個 240 GB 固態硬碟 ( SSD )</w:t>
            </w:r>
            <w:r>
              <w:rPr>
                <w:rFonts w:ascii="標楷體" w:eastAsia="標楷體" w:hAnsi="標楷體" w:cs="標楷體"/>
                <w:color w:val="000000"/>
              </w:rPr>
              <w:t xml:space="preserve">。 </w:t>
            </w:r>
          </w:p>
          <w:p w14:paraId="05F1DA0B"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支援網路設備HA ( High Availability )：Active-Active / Active-Passive或Failover或VRRP或HSRP等備援功能，可另外增購備援設備接續運作</w:t>
            </w:r>
            <w:r>
              <w:rPr>
                <w:rFonts w:ascii="標楷體" w:eastAsia="標楷體" w:hAnsi="標楷體" w:cs="標楷體"/>
                <w:color w:val="000000"/>
              </w:rPr>
              <w:t xml:space="preserve">。 </w:t>
            </w:r>
          </w:p>
          <w:p w14:paraId="2A469211"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支援虛擬網路線路配對 ( Virtual Wire Pair ) 功能</w:t>
            </w:r>
            <w:r>
              <w:rPr>
                <w:rFonts w:ascii="標楷體" w:eastAsia="標楷體" w:hAnsi="標楷體" w:cs="標楷體"/>
                <w:color w:val="000000"/>
              </w:rPr>
              <w:t xml:space="preserve">。 </w:t>
            </w:r>
          </w:p>
          <w:p w14:paraId="705E673F"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lastRenderedPageBreak/>
              <w:t>支援VPN 具備前向錯誤更正 ( Forward Error Correction ) 功能</w:t>
            </w:r>
            <w:r>
              <w:rPr>
                <w:rFonts w:ascii="標楷體" w:eastAsia="標楷體" w:hAnsi="標楷體" w:cs="標楷體"/>
                <w:color w:val="000000"/>
              </w:rPr>
              <w:t xml:space="preserve">。  </w:t>
            </w:r>
          </w:p>
          <w:p w14:paraId="70ABCA41"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支援 IPSEC Auto VPN功能或相等功能，可使用Spokes and Hub設定達到簡化Full-Mesh VPN設定</w:t>
            </w:r>
            <w:r>
              <w:rPr>
                <w:rFonts w:ascii="標楷體" w:eastAsia="標楷體" w:hAnsi="標楷體" w:cs="標楷體"/>
                <w:color w:val="000000"/>
              </w:rPr>
              <w:t xml:space="preserve">。 </w:t>
            </w:r>
          </w:p>
          <w:p w14:paraId="097B0EE3"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提供匯出Netflow 9資訊和Network Packet Broker功能，提供將加密或未加密的所有流量轉送至第三方設備，強化可視性和安全</w:t>
            </w:r>
            <w:r>
              <w:rPr>
                <w:rFonts w:ascii="標楷體" w:eastAsia="標楷體" w:hAnsi="標楷體" w:cs="標楷體"/>
                <w:color w:val="000000"/>
              </w:rPr>
              <w:t xml:space="preserve">。 </w:t>
            </w:r>
          </w:p>
          <w:p w14:paraId="50F6C3E6"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具備內建網路分析 ( Packet Capture ) 工具，並提供政策優化(Policy Optimzer)功能，協助將既有資安政策從IP和埠控管轉換成應用程式的控管，並提供日誌和政策的使用時間檢視功能，以供稽核檢視使用</w:t>
            </w:r>
            <w:r>
              <w:rPr>
                <w:rFonts w:ascii="標楷體" w:eastAsia="標楷體" w:hAnsi="標楷體" w:cs="標楷體"/>
                <w:color w:val="000000"/>
              </w:rPr>
              <w:t>。</w:t>
            </w:r>
          </w:p>
          <w:p w14:paraId="25C6398E"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具備同時支援多種使用者資料庫（Radius、LDAP、TACACS+、Local DB、SAML、Kerberos）之使用者驗證</w:t>
            </w:r>
            <w:r>
              <w:rPr>
                <w:rFonts w:ascii="標楷體" w:eastAsia="標楷體" w:hAnsi="標楷體" w:cs="標楷體"/>
                <w:color w:val="000000"/>
              </w:rPr>
              <w:t xml:space="preserve">。 </w:t>
            </w:r>
          </w:p>
          <w:p w14:paraId="409ABEBF"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具備靜態路由通訊協定 ( Static Route ) 以及動態路由通訊協定RIPv1、RIPv2、OSPFv2、OSPFv3、BGP4等</w:t>
            </w:r>
            <w:r>
              <w:rPr>
                <w:rFonts w:ascii="標楷體" w:eastAsia="標楷體" w:hAnsi="標楷體" w:cs="標楷體"/>
                <w:color w:val="000000"/>
              </w:rPr>
              <w:t xml:space="preserve">。 </w:t>
            </w:r>
          </w:p>
          <w:p w14:paraId="0B948E24"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可依據介面和閘道IP作為HA功能 ( High Availability ) 切換 ( Fail-over ) 條件</w:t>
            </w:r>
            <w:r>
              <w:rPr>
                <w:rFonts w:ascii="標楷體" w:eastAsia="標楷體" w:hAnsi="標楷體" w:cs="標楷體"/>
                <w:color w:val="000000"/>
              </w:rPr>
              <w:t xml:space="preserve">。 </w:t>
            </w:r>
          </w:p>
          <w:p w14:paraId="5D1DAC01"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提供詳細的流量日誌和提供報表功能，並提供客製化報表</w:t>
            </w:r>
            <w:r>
              <w:rPr>
                <w:rFonts w:ascii="標楷體" w:eastAsia="標楷體" w:hAnsi="標楷體" w:cs="標楷體"/>
                <w:color w:val="000000"/>
              </w:rPr>
              <w:t xml:space="preserve">。 </w:t>
            </w:r>
          </w:p>
          <w:p w14:paraId="565C93A7"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提供後量子(Post Quantum)混合Key交換 VPN 透過添加使用 NIST 第 3 輪和第 4 輪加密套件創建後量子加密 (PQC) 混合金鑰的功能，可以強化量子 VPN 加密金鑰保護</w:t>
            </w:r>
            <w:r>
              <w:rPr>
                <w:rFonts w:ascii="標楷體" w:eastAsia="標楷體" w:hAnsi="標楷體" w:cs="標楷體"/>
                <w:color w:val="000000"/>
              </w:rPr>
              <w:t>。</w:t>
            </w:r>
          </w:p>
          <w:p w14:paraId="38996016"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具備以國家別或地域名稱( GeoIP / Geography )來制定流量過濾政策功能</w:t>
            </w:r>
            <w:r>
              <w:rPr>
                <w:rFonts w:ascii="標楷體" w:eastAsia="標楷體" w:hAnsi="標楷體" w:cs="標楷體"/>
                <w:color w:val="000000"/>
              </w:rPr>
              <w:t>。</w:t>
            </w:r>
          </w:p>
          <w:p w14:paraId="6F07ED7A"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提供外部動態物件(IP、Domain、URL)匯入阻擋清單。</w:t>
            </w:r>
          </w:p>
          <w:p w14:paraId="1E2E5816"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得標商須提供 5 年(含) License(24*7 DNS Security、入侵防禦系統 ( IPS )、URL和網頁內容 ( Web content )、進階惡意軟體防護 ( AWF ) 功能授權服務。</w:t>
            </w:r>
          </w:p>
          <w:p w14:paraId="72F5F3B8"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須符合FCC  Class A, VCCI, CE,CB, BSMI 等安規與電磁效應標準或電磁相容性(EMC)。設備本身須為 1U 機架高度，並可安裝在標準 19 吋機架上。</w:t>
            </w:r>
          </w:p>
          <w:p w14:paraId="6093CEBB" w14:textId="77777777" w:rsidR="0028644A" w:rsidRDefault="00D76856">
            <w:pPr>
              <w:widowControl/>
              <w:numPr>
                <w:ilvl w:val="0"/>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設備需提供下列管理機制</w:t>
            </w:r>
          </w:p>
          <w:p w14:paraId="216EC390" w14:textId="77777777" w:rsidR="0028644A" w:rsidRDefault="00D7685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lastRenderedPageBreak/>
              <w:t>可新增、停用、刪除使用者帳號</w:t>
            </w:r>
          </w:p>
          <w:p w14:paraId="315126CF" w14:textId="77777777" w:rsidR="0028644A" w:rsidRDefault="00D7685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可依群組方式賦予各帳號權限</w:t>
            </w:r>
          </w:p>
          <w:p w14:paraId="114A8F38" w14:textId="77777777" w:rsidR="0028644A" w:rsidRDefault="00D7685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可設定密碼長度、密碼複雜度、密碼錯誤N伺候鎖定帳號等</w:t>
            </w:r>
          </w:p>
          <w:p w14:paraId="74651DC6" w14:textId="77777777" w:rsidR="0028644A" w:rsidRDefault="00D7685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可設定閒置時間，系統可自動登出閒置過久之帳號</w:t>
            </w:r>
          </w:p>
          <w:p w14:paraId="66342B3D" w14:textId="77777777" w:rsidR="0028644A" w:rsidRDefault="00D7685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可將系統日誌匯出</w:t>
            </w:r>
          </w:p>
          <w:p w14:paraId="7A6BBC2B" w14:textId="77777777" w:rsidR="0028644A" w:rsidRDefault="00D7685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可選擇是否開啟系統事件紀錄</w:t>
            </w:r>
          </w:p>
          <w:p w14:paraId="121EA4E0" w14:textId="77777777" w:rsidR="0028644A" w:rsidRDefault="00D7685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可設定系統校時對象</w:t>
            </w:r>
          </w:p>
          <w:p w14:paraId="3CA7E48A" w14:textId="77777777" w:rsidR="0028644A" w:rsidRDefault="00D76856">
            <w:pPr>
              <w:widowControl/>
              <w:numPr>
                <w:ilvl w:val="1"/>
                <w:numId w:val="3"/>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可將系統設定備份</w:t>
            </w:r>
          </w:p>
        </w:tc>
        <w:tc>
          <w:tcPr>
            <w:tcW w:w="720" w:type="dxa"/>
            <w:tcBorders>
              <w:top w:val="single" w:sz="6" w:space="0" w:color="000000"/>
              <w:left w:val="single" w:sz="12" w:space="0" w:color="000000"/>
              <w:bottom w:val="single" w:sz="4" w:space="0" w:color="000000"/>
              <w:right w:val="single" w:sz="12" w:space="0" w:color="000000"/>
            </w:tcBorders>
          </w:tcPr>
          <w:p w14:paraId="0FF760B2" w14:textId="77777777" w:rsidR="0028644A" w:rsidRDefault="00D76856">
            <w:pPr>
              <w:spacing w:after="40"/>
              <w:ind w:left="239"/>
              <w:rPr>
                <w:rFonts w:ascii="標楷體" w:eastAsia="標楷體" w:hAnsi="標楷體" w:cs="標楷體"/>
              </w:rPr>
            </w:pPr>
            <w:r>
              <w:rPr>
                <w:rFonts w:ascii="標楷體" w:eastAsia="標楷體" w:hAnsi="標楷體" w:cs="標楷體"/>
              </w:rPr>
              <w:lastRenderedPageBreak/>
              <w:t xml:space="preserve">台 </w:t>
            </w:r>
          </w:p>
        </w:tc>
        <w:tc>
          <w:tcPr>
            <w:tcW w:w="750" w:type="dxa"/>
            <w:tcBorders>
              <w:top w:val="single" w:sz="6" w:space="0" w:color="000000"/>
              <w:left w:val="single" w:sz="12" w:space="0" w:color="000000"/>
              <w:bottom w:val="single" w:sz="4" w:space="0" w:color="000000"/>
              <w:right w:val="single" w:sz="12" w:space="0" w:color="000000"/>
            </w:tcBorders>
          </w:tcPr>
          <w:p w14:paraId="204548FC" w14:textId="77777777" w:rsidR="0028644A" w:rsidRDefault="00D76856">
            <w:pPr>
              <w:spacing w:after="60"/>
              <w:ind w:left="61"/>
              <w:jc w:val="center"/>
              <w:rPr>
                <w:rFonts w:ascii="標楷體" w:eastAsia="標楷體" w:hAnsi="標楷體" w:cs="標楷體"/>
              </w:rPr>
            </w:pPr>
            <w:r>
              <w:rPr>
                <w:rFonts w:ascii="標楷體" w:eastAsia="標楷體" w:hAnsi="標楷體" w:cs="標楷體"/>
              </w:rPr>
              <w:t>2</w:t>
            </w:r>
          </w:p>
        </w:tc>
      </w:tr>
      <w:tr w:rsidR="0028644A" w14:paraId="4DA34149" w14:textId="77777777">
        <w:trPr>
          <w:trHeight w:val="790"/>
        </w:trPr>
        <w:tc>
          <w:tcPr>
            <w:tcW w:w="750" w:type="dxa"/>
            <w:tcBorders>
              <w:top w:val="single" w:sz="6" w:space="0" w:color="000000"/>
              <w:left w:val="single" w:sz="12" w:space="0" w:color="000000"/>
              <w:right w:val="single" w:sz="12" w:space="0" w:color="000000"/>
            </w:tcBorders>
          </w:tcPr>
          <w:p w14:paraId="2FDF4C3D" w14:textId="77777777" w:rsidR="0028644A" w:rsidRDefault="00D76856">
            <w:pPr>
              <w:spacing w:after="60"/>
              <w:ind w:left="61"/>
              <w:jc w:val="center"/>
              <w:rPr>
                <w:rFonts w:ascii="標楷體" w:eastAsia="標楷體" w:hAnsi="標楷體" w:cs="標楷體"/>
              </w:rPr>
            </w:pPr>
            <w:r>
              <w:rPr>
                <w:rFonts w:ascii="標楷體" w:eastAsia="標楷體" w:hAnsi="標楷體" w:cs="標楷體"/>
              </w:rPr>
              <w:lastRenderedPageBreak/>
              <w:t>2</w:t>
            </w:r>
          </w:p>
        </w:tc>
        <w:tc>
          <w:tcPr>
            <w:tcW w:w="1110" w:type="dxa"/>
            <w:tcBorders>
              <w:top w:val="single" w:sz="6" w:space="0" w:color="000000"/>
              <w:left w:val="single" w:sz="12" w:space="0" w:color="000000"/>
              <w:bottom w:val="single" w:sz="4" w:space="0" w:color="000000"/>
              <w:right w:val="single" w:sz="12" w:space="0" w:color="000000"/>
            </w:tcBorders>
          </w:tcPr>
          <w:p w14:paraId="247C943B" w14:textId="77777777" w:rsidR="0028644A" w:rsidRDefault="00D76856">
            <w:pPr>
              <w:spacing w:after="41"/>
              <w:ind w:left="59"/>
              <w:jc w:val="center"/>
              <w:rPr>
                <w:rFonts w:ascii="標楷體" w:eastAsia="標楷體" w:hAnsi="標楷體" w:cs="標楷體"/>
              </w:rPr>
            </w:pPr>
            <w:r>
              <w:rPr>
                <w:rFonts w:ascii="標楷體" w:eastAsia="標楷體" w:hAnsi="標楷體" w:cs="標楷體"/>
              </w:rPr>
              <w:t>保固服務</w:t>
            </w:r>
          </w:p>
        </w:tc>
        <w:tc>
          <w:tcPr>
            <w:tcW w:w="6090" w:type="dxa"/>
            <w:tcBorders>
              <w:top w:val="single" w:sz="6" w:space="0" w:color="000000"/>
              <w:left w:val="single" w:sz="12" w:space="0" w:color="000000"/>
              <w:bottom w:val="single" w:sz="4" w:space="0" w:color="000000"/>
              <w:right w:val="single" w:sz="12" w:space="0" w:color="000000"/>
            </w:tcBorders>
          </w:tcPr>
          <w:p w14:paraId="5A4F6DA1" w14:textId="77777777" w:rsidR="0028644A" w:rsidRDefault="00D76856">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5年保固服務</w:t>
            </w:r>
          </w:p>
        </w:tc>
        <w:tc>
          <w:tcPr>
            <w:tcW w:w="720" w:type="dxa"/>
            <w:tcBorders>
              <w:top w:val="single" w:sz="6" w:space="0" w:color="000000"/>
              <w:left w:val="single" w:sz="12" w:space="0" w:color="000000"/>
              <w:bottom w:val="single" w:sz="4" w:space="0" w:color="000000"/>
              <w:right w:val="single" w:sz="12" w:space="0" w:color="000000"/>
            </w:tcBorders>
          </w:tcPr>
          <w:p w14:paraId="342D9D4B" w14:textId="77777777" w:rsidR="0028644A" w:rsidRDefault="00D76856">
            <w:pPr>
              <w:spacing w:after="40"/>
              <w:ind w:left="239"/>
              <w:rPr>
                <w:rFonts w:ascii="標楷體" w:eastAsia="標楷體" w:hAnsi="標楷體" w:cs="標楷體"/>
              </w:rPr>
            </w:pPr>
            <w:r>
              <w:rPr>
                <w:rFonts w:ascii="標楷體" w:eastAsia="標楷體" w:hAnsi="標楷體" w:cs="標楷體"/>
              </w:rPr>
              <w:t>式</w:t>
            </w:r>
          </w:p>
        </w:tc>
        <w:tc>
          <w:tcPr>
            <w:tcW w:w="750" w:type="dxa"/>
            <w:tcBorders>
              <w:top w:val="single" w:sz="6" w:space="0" w:color="000000"/>
              <w:left w:val="single" w:sz="12" w:space="0" w:color="000000"/>
              <w:bottom w:val="single" w:sz="4" w:space="0" w:color="000000"/>
              <w:right w:val="single" w:sz="12" w:space="0" w:color="000000"/>
            </w:tcBorders>
          </w:tcPr>
          <w:p w14:paraId="54F81DFC" w14:textId="77777777" w:rsidR="0028644A" w:rsidRDefault="00D76856">
            <w:pPr>
              <w:spacing w:after="60"/>
              <w:ind w:left="61"/>
              <w:jc w:val="center"/>
              <w:rPr>
                <w:rFonts w:ascii="標楷體" w:eastAsia="標楷體" w:hAnsi="標楷體" w:cs="標楷體"/>
              </w:rPr>
            </w:pPr>
            <w:r>
              <w:rPr>
                <w:rFonts w:ascii="標楷體" w:eastAsia="標楷體" w:hAnsi="標楷體" w:cs="標楷體"/>
              </w:rPr>
              <w:t>1</w:t>
            </w:r>
          </w:p>
        </w:tc>
      </w:tr>
      <w:tr w:rsidR="0028644A" w14:paraId="5A61BD17" w14:textId="77777777">
        <w:trPr>
          <w:trHeight w:val="701"/>
        </w:trPr>
        <w:tc>
          <w:tcPr>
            <w:tcW w:w="750" w:type="dxa"/>
            <w:tcBorders>
              <w:top w:val="single" w:sz="12" w:space="0" w:color="000000"/>
              <w:left w:val="single" w:sz="12" w:space="0" w:color="000000"/>
              <w:bottom w:val="single" w:sz="12" w:space="0" w:color="000000"/>
              <w:right w:val="single" w:sz="12" w:space="0" w:color="000000"/>
            </w:tcBorders>
          </w:tcPr>
          <w:p w14:paraId="0B0C6736" w14:textId="77777777" w:rsidR="0028644A" w:rsidRDefault="00D76856">
            <w:pPr>
              <w:ind w:left="134" w:right="13"/>
              <w:jc w:val="center"/>
              <w:rPr>
                <w:rFonts w:ascii="標楷體" w:eastAsia="標楷體" w:hAnsi="標楷體" w:cs="標楷體"/>
              </w:rPr>
            </w:pPr>
            <w:r>
              <w:rPr>
                <w:rFonts w:ascii="標楷體" w:eastAsia="標楷體" w:hAnsi="標楷體" w:cs="標楷體"/>
              </w:rPr>
              <w:t xml:space="preserve">備註 </w:t>
            </w:r>
          </w:p>
        </w:tc>
        <w:tc>
          <w:tcPr>
            <w:tcW w:w="8670" w:type="dxa"/>
            <w:gridSpan w:val="4"/>
            <w:tcBorders>
              <w:top w:val="single" w:sz="12" w:space="0" w:color="000000"/>
              <w:left w:val="single" w:sz="12" w:space="0" w:color="000000"/>
              <w:bottom w:val="single" w:sz="12" w:space="0" w:color="000000"/>
              <w:right w:val="single" w:sz="12" w:space="0" w:color="000000"/>
            </w:tcBorders>
            <w:vAlign w:val="center"/>
          </w:tcPr>
          <w:p w14:paraId="75E04659" w14:textId="77777777" w:rsidR="0028644A" w:rsidRDefault="00D76856">
            <w:pPr>
              <w:pBdr>
                <w:top w:val="nil"/>
                <w:left w:val="nil"/>
                <w:bottom w:val="nil"/>
                <w:right w:val="nil"/>
                <w:between w:val="nil"/>
              </w:pBdr>
              <w:rPr>
                <w:rFonts w:ascii="標楷體" w:eastAsia="標楷體" w:hAnsi="標楷體" w:cs="標楷體"/>
                <w:color w:val="000000"/>
              </w:rPr>
            </w:pPr>
            <w:r>
              <w:rPr>
                <w:rFonts w:ascii="標楷體" w:eastAsia="標楷體" w:hAnsi="標楷體" w:cs="標楷體"/>
              </w:rPr>
              <w:t>一、</w:t>
            </w:r>
            <w:r>
              <w:rPr>
                <w:rFonts w:ascii="標楷體" w:eastAsia="標楷體" w:hAnsi="標楷體" w:cs="標楷體"/>
                <w:color w:val="000000"/>
              </w:rPr>
              <w:t xml:space="preserve">保固及維修： </w:t>
            </w:r>
          </w:p>
          <w:p w14:paraId="37F7CC54" w14:textId="77777777" w:rsidR="0028644A" w:rsidRDefault="00D76856">
            <w:pPr>
              <w:numPr>
                <w:ilvl w:val="1"/>
                <w:numId w:val="4"/>
              </w:numPr>
              <w:pBdr>
                <w:top w:val="nil"/>
                <w:left w:val="nil"/>
                <w:bottom w:val="nil"/>
                <w:right w:val="nil"/>
                <w:between w:val="nil"/>
              </w:pBdr>
              <w:ind w:left="992" w:hanging="425"/>
              <w:rPr>
                <w:rFonts w:ascii="標楷體" w:eastAsia="標楷體" w:hAnsi="標楷體" w:cs="標楷體"/>
                <w:color w:val="000000"/>
              </w:rPr>
            </w:pPr>
            <w:r>
              <w:rPr>
                <w:rFonts w:ascii="標楷體" w:eastAsia="標楷體" w:hAnsi="標楷體" w:cs="標楷體"/>
              </w:rPr>
              <w:t>得標廠商須於全案驗收合格日之次日起提供全案5年之設備免費保固與維護。得標廠商應於交貨時提供保固切結書</w:t>
            </w:r>
            <w:r>
              <w:rPr>
                <w:rFonts w:ascii="標楷體" w:eastAsia="標楷體" w:hAnsi="標楷體" w:cs="標楷體"/>
                <w:color w:val="000000"/>
              </w:rPr>
              <w:t>。</w:t>
            </w:r>
          </w:p>
          <w:p w14:paraId="38668011" w14:textId="77777777" w:rsidR="0028644A" w:rsidRDefault="00D76856">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 xml:space="preserve">在保固期間內，設備在正常使用下之發生任何故障狀況，得標廠商均應負責維修或改善，並不得收取任何費用。 </w:t>
            </w:r>
          </w:p>
          <w:p w14:paraId="4F4BE5F0" w14:textId="77777777" w:rsidR="0028644A" w:rsidRDefault="00D76856">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得標廠商於接獲本公司故障通知後，應在 3小時內到本公司檢視或維修，並於 24 小時內將故障排除(含假日與連假)</w:t>
            </w:r>
            <w:r>
              <w:rPr>
                <w:rFonts w:ascii="標楷體" w:eastAsia="標楷體" w:hAnsi="標楷體" w:cs="標楷體"/>
                <w:color w:val="000000"/>
              </w:rPr>
              <w:t>。</w:t>
            </w:r>
          </w:p>
          <w:p w14:paraId="2DC11941" w14:textId="77777777" w:rsidR="0028644A" w:rsidRDefault="00D76856">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若得標廠商無法在上述時限排除故障，得標廠商應提供功能相同且經本公司認可之機器替代使用，直至故障排除為止。</w:t>
            </w:r>
          </w:p>
          <w:p w14:paraId="63F2B01F" w14:textId="77777777" w:rsidR="0028644A" w:rsidRDefault="00D76856">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color w:val="000000"/>
              </w:rPr>
              <w:t>保固之除外條款：不包括人為疏失損壞及天災地變不可抗力等因素。</w:t>
            </w:r>
          </w:p>
          <w:p w14:paraId="705B8979" w14:textId="77777777" w:rsidR="0028644A" w:rsidRDefault="00D76856">
            <w:pPr>
              <w:numPr>
                <w:ilvl w:val="1"/>
                <w:numId w:val="4"/>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得標廠商應保證自驗收合格日之次日起至少提供5年(含)之零件(或相同功能之可替代性零件)充足供應、不得提供5年內EOS產品。</w:t>
            </w:r>
          </w:p>
          <w:p w14:paraId="02B5DC99" w14:textId="77777777" w:rsidR="0028644A" w:rsidRDefault="00D76856">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二、交貨時應檢附下列文件:台灣地區原廠出具之出廠證明、新品證明、保固證明，設備如係進口貨則應另附海關進口證明文件(進口報單)</w:t>
            </w:r>
            <w:r>
              <w:rPr>
                <w:rFonts w:ascii="標楷體" w:eastAsia="標楷體" w:hAnsi="標楷體" w:cs="標楷體"/>
                <w:color w:val="000000"/>
              </w:rPr>
              <w:t xml:space="preserve">。 </w:t>
            </w:r>
          </w:p>
          <w:p w14:paraId="15DC93F4" w14:textId="77777777" w:rsidR="0028644A" w:rsidRDefault="00D76856">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 xml:space="preserve">三、硬體5年免費保固與維護之保固切結書。 </w:t>
            </w:r>
          </w:p>
          <w:p w14:paraId="4A24BE3A" w14:textId="77777777" w:rsidR="0028644A" w:rsidRDefault="00D76856">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 xml:space="preserve">四、提供本案系統設備之完整接線圖、系統整合圖、工作流程圖、各項設備整體運作測試報告及所有維護管理手冊。 </w:t>
            </w:r>
          </w:p>
          <w:p w14:paraId="7EA28597" w14:textId="77777777" w:rsidR="0028644A" w:rsidRDefault="00D76856">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五、相關軟體之合法授權證明文件、原廠授權貼紙。</w:t>
            </w:r>
          </w:p>
          <w:p w14:paraId="3BEBFFD8" w14:textId="77777777" w:rsidR="0028644A" w:rsidRDefault="00D76856">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六、教育訓練資料。</w:t>
            </w:r>
          </w:p>
          <w:p w14:paraId="67C2E366" w14:textId="77777777" w:rsidR="0028644A" w:rsidRDefault="00D76856">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七、相關實體網路線材佈線及設備安裝設定(需按照客戶原需求施作)。</w:t>
            </w:r>
          </w:p>
          <w:p w14:paraId="3A9AA968" w14:textId="77777777" w:rsidR="0028644A" w:rsidRDefault="0028644A">
            <w:pPr>
              <w:pBdr>
                <w:top w:val="nil"/>
                <w:left w:val="nil"/>
                <w:bottom w:val="nil"/>
                <w:right w:val="nil"/>
                <w:between w:val="nil"/>
              </w:pBdr>
              <w:rPr>
                <w:rFonts w:ascii="標楷體" w:eastAsia="標楷體" w:hAnsi="標楷體" w:cs="標楷體"/>
                <w:color w:val="000000"/>
              </w:rPr>
            </w:pPr>
          </w:p>
        </w:tc>
      </w:tr>
    </w:tbl>
    <w:p w14:paraId="72A0120A" w14:textId="77777777" w:rsidR="0028644A" w:rsidRDefault="0028644A">
      <w:pPr>
        <w:spacing w:after="60"/>
        <w:ind w:right="2014"/>
        <w:rPr>
          <w:rFonts w:ascii="標楷體" w:eastAsia="標楷體" w:hAnsi="標楷體" w:cs="標楷體"/>
        </w:rPr>
      </w:pPr>
    </w:p>
    <w:p w14:paraId="01E0FF0D" w14:textId="77777777" w:rsidR="0028644A" w:rsidRDefault="00D76856">
      <w:pPr>
        <w:ind w:right="2014"/>
        <w:rPr>
          <w:rFonts w:ascii="標楷體" w:eastAsia="標楷體" w:hAnsi="標楷體" w:cs="標楷體"/>
        </w:rPr>
      </w:pPr>
      <w:r>
        <w:rPr>
          <w:rFonts w:ascii="標楷體" w:eastAsia="標楷體" w:hAnsi="標楷體" w:cs="標楷體"/>
        </w:rPr>
        <w:t xml:space="preserve">投標廠商用印處  </w:t>
      </w:r>
    </w:p>
    <w:p w14:paraId="2FA53B1D" w14:textId="77777777" w:rsidR="0028644A" w:rsidRDefault="00D76856">
      <w:pPr>
        <w:spacing w:line="400" w:lineRule="auto"/>
        <w:rPr>
          <w:rFonts w:ascii="標楷體" w:eastAsia="標楷體" w:hAnsi="標楷體" w:cs="標楷體"/>
        </w:rPr>
      </w:pPr>
      <w:r>
        <w:rPr>
          <w:rFonts w:ascii="標楷體" w:eastAsia="標楷體" w:hAnsi="標楷體" w:cs="標楷體"/>
        </w:rPr>
        <w:t>廠    商(蓋公司章)：</w:t>
      </w:r>
    </w:p>
    <w:p w14:paraId="70D99383" w14:textId="77777777" w:rsidR="0028644A" w:rsidRDefault="0028644A">
      <w:pPr>
        <w:spacing w:line="400" w:lineRule="auto"/>
        <w:rPr>
          <w:rFonts w:ascii="標楷體" w:eastAsia="標楷體" w:hAnsi="標楷體" w:cs="標楷體"/>
        </w:rPr>
      </w:pPr>
    </w:p>
    <w:p w14:paraId="65FD0079" w14:textId="77777777" w:rsidR="0028644A" w:rsidRDefault="00D76856">
      <w:pPr>
        <w:ind w:right="2014"/>
        <w:rPr>
          <w:rFonts w:ascii="標楷體" w:eastAsia="標楷體" w:hAnsi="標楷體" w:cs="標楷體"/>
        </w:rPr>
      </w:pPr>
      <w:r>
        <w:rPr>
          <w:rFonts w:ascii="標楷體" w:eastAsia="標楷體" w:hAnsi="標楷體" w:cs="標楷體"/>
        </w:rPr>
        <w:t>負 責 人(加蓋印章)：</w:t>
      </w:r>
    </w:p>
    <w:p w14:paraId="6EEB6965" w14:textId="0A4398F3" w:rsidR="0028644A" w:rsidRDefault="00D76856" w:rsidP="00890FD0">
      <w:pPr>
        <w:ind w:left="1487"/>
        <w:rPr>
          <w:rFonts w:ascii="標楷體" w:eastAsia="標楷體" w:hAnsi="標楷體" w:cs="標楷體"/>
          <w:b/>
        </w:rPr>
      </w:pPr>
      <w:r>
        <w:rPr>
          <w:rFonts w:ascii="標楷體" w:eastAsia="標楷體" w:hAnsi="標楷體" w:cs="標楷體"/>
        </w:rPr>
        <w:t xml:space="preserve">                                    年    月    日  </w:t>
      </w:r>
    </w:p>
    <w:sectPr w:rsidR="0028644A" w:rsidSect="00890FD0">
      <w:footerReference w:type="default" r:id="rId8"/>
      <w:footerReference w:type="first" r:id="rId9"/>
      <w:pgSz w:w="11906" w:h="16838"/>
      <w:pgMar w:top="1440" w:right="1800" w:bottom="1440" w:left="1800" w:header="851" w:footer="46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753AD" w14:textId="77777777" w:rsidR="00C62D01" w:rsidRDefault="00C62D01">
      <w:r>
        <w:separator/>
      </w:r>
    </w:p>
  </w:endnote>
  <w:endnote w:type="continuationSeparator" w:id="0">
    <w:p w14:paraId="2C9A52D5" w14:textId="77777777" w:rsidR="00C62D01" w:rsidRDefault="00C62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2857907"/>
      <w:docPartObj>
        <w:docPartGallery w:val="Page Numbers (Bottom of Page)"/>
        <w:docPartUnique/>
      </w:docPartObj>
    </w:sdtPr>
    <w:sdtEndPr/>
    <w:sdtContent>
      <w:sdt>
        <w:sdtPr>
          <w:id w:val="1728636285"/>
          <w:docPartObj>
            <w:docPartGallery w:val="Page Numbers (Top of Page)"/>
            <w:docPartUnique/>
          </w:docPartObj>
        </w:sdtPr>
        <w:sdtEndPr/>
        <w:sdtContent>
          <w:p w14:paraId="631AC3F9" w14:textId="7EAFA4F5" w:rsidR="00890FD0" w:rsidRDefault="00890FD0">
            <w:pPr>
              <w:pStyle w:val="a8"/>
              <w:jc w:val="center"/>
            </w:pPr>
            <w:r>
              <w:rPr>
                <w:lang w:val="zh-TW"/>
              </w:rPr>
              <w:t xml:space="preserve"> </w:t>
            </w:r>
            <w:r>
              <w:rPr>
                <w:b/>
                <w:bCs/>
                <w:sz w:val="24"/>
                <w:szCs w:val="24"/>
              </w:rPr>
              <w:fldChar w:fldCharType="begin"/>
            </w:r>
            <w:r>
              <w:rPr>
                <w:b/>
                <w:bCs/>
              </w:rPr>
              <w:instrText>PAGE</w:instrText>
            </w:r>
            <w:r>
              <w:rPr>
                <w:b/>
                <w:bCs/>
                <w:sz w:val="24"/>
                <w:szCs w:val="24"/>
              </w:rPr>
              <w:fldChar w:fldCharType="separate"/>
            </w:r>
            <w:r>
              <w:rPr>
                <w:b/>
                <w:bCs/>
                <w:lang w:val="zh-TW"/>
              </w:rPr>
              <w:t>2</w:t>
            </w:r>
            <w:r>
              <w:rPr>
                <w:b/>
                <w:bCs/>
                <w:sz w:val="24"/>
                <w:szCs w:val="24"/>
              </w:rPr>
              <w:fldChar w:fldCharType="end"/>
            </w:r>
            <w:r>
              <w:rPr>
                <w:lang w:val="zh-TW"/>
              </w:rPr>
              <w:t xml:space="preserve"> </w:t>
            </w:r>
            <w:r>
              <w:rPr>
                <w:lang w:val="zh-TW"/>
              </w:rPr>
              <w:t>的</w:t>
            </w:r>
            <w:r>
              <w:rPr>
                <w:lang w:val="zh-TW"/>
              </w:rPr>
              <w:t xml:space="preserve"> </w:t>
            </w:r>
            <w:r>
              <w:rPr>
                <w:b/>
                <w:bCs/>
                <w:sz w:val="24"/>
                <w:szCs w:val="24"/>
              </w:rPr>
              <w:fldChar w:fldCharType="begin"/>
            </w:r>
            <w:r>
              <w:rPr>
                <w:b/>
                <w:bCs/>
              </w:rPr>
              <w:instrText>NUMPAGES</w:instrText>
            </w:r>
            <w:r>
              <w:rPr>
                <w:b/>
                <w:bCs/>
                <w:sz w:val="24"/>
                <w:szCs w:val="24"/>
              </w:rPr>
              <w:fldChar w:fldCharType="separate"/>
            </w:r>
            <w:r>
              <w:rPr>
                <w:b/>
                <w:bCs/>
                <w:lang w:val="zh-TW"/>
              </w:rPr>
              <w:t>2</w:t>
            </w:r>
            <w:r>
              <w:rPr>
                <w:b/>
                <w:bCs/>
                <w:sz w:val="24"/>
                <w:szCs w:val="24"/>
              </w:rPr>
              <w:fldChar w:fldCharType="end"/>
            </w:r>
          </w:p>
        </w:sdtContent>
      </w:sdt>
    </w:sdtContent>
  </w:sdt>
  <w:p w14:paraId="09869752" w14:textId="77777777" w:rsidR="0028644A" w:rsidRDefault="0028644A">
    <w:pPr>
      <w:pBdr>
        <w:top w:val="nil"/>
        <w:left w:val="nil"/>
        <w:bottom w:val="nil"/>
        <w:right w:val="nil"/>
        <w:between w:val="nil"/>
      </w:pBdr>
      <w:tabs>
        <w:tab w:val="center" w:pos="4153"/>
        <w:tab w:val="right" w:pos="8306"/>
      </w:tabs>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587D4" w14:textId="77777777" w:rsidR="0028644A" w:rsidRDefault="00D76856">
    <w:pPr>
      <w:pBdr>
        <w:top w:val="nil"/>
        <w:left w:val="nil"/>
        <w:bottom w:val="nil"/>
        <w:right w:val="nil"/>
        <w:between w:val="nil"/>
      </w:pBdr>
      <w:tabs>
        <w:tab w:val="center" w:pos="4153"/>
        <w:tab w:val="right" w:pos="8306"/>
      </w:tabs>
      <w:jc w:val="right"/>
      <w:rPr>
        <w:color w:val="000000"/>
        <w:sz w:val="20"/>
        <w:szCs w:val="20"/>
      </w:rPr>
    </w:pPr>
    <w:r>
      <w:rPr>
        <w:color w:val="000000"/>
        <w:sz w:val="20"/>
        <w:szCs w:val="20"/>
      </w:rPr>
      <w:t>P</w:t>
    </w:r>
    <w:r>
      <w:rPr>
        <w:color w:val="000000"/>
        <w:sz w:val="20"/>
        <w:szCs w:val="20"/>
      </w:rPr>
      <w:fldChar w:fldCharType="begin"/>
    </w:r>
    <w:r>
      <w:rPr>
        <w:color w:val="000000"/>
        <w:sz w:val="20"/>
        <w:szCs w:val="20"/>
      </w:rPr>
      <w:instrText>PAGE</w:instrText>
    </w:r>
    <w:r>
      <w:rPr>
        <w:color w:val="000000"/>
        <w:sz w:val="20"/>
        <w:szCs w:val="20"/>
      </w:rPr>
      <w:fldChar w:fldCharType="separate"/>
    </w:r>
    <w:r w:rsidR="00890FD0">
      <w:rPr>
        <w:noProof/>
        <w:color w:val="000000"/>
        <w:sz w:val="20"/>
        <w:szCs w:val="20"/>
      </w:rPr>
      <w:t>1</w:t>
    </w:r>
    <w:r>
      <w:rPr>
        <w:color w:val="000000"/>
        <w:sz w:val="20"/>
        <w:szCs w:val="20"/>
      </w:rPr>
      <w:fldChar w:fldCharType="end"/>
    </w:r>
  </w:p>
  <w:p w14:paraId="572889A2" w14:textId="77777777" w:rsidR="0028644A" w:rsidRDefault="0028644A">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71BFC" w14:textId="77777777" w:rsidR="00C62D01" w:rsidRDefault="00C62D01">
      <w:r>
        <w:separator/>
      </w:r>
    </w:p>
  </w:footnote>
  <w:footnote w:type="continuationSeparator" w:id="0">
    <w:p w14:paraId="7DB2CDE8" w14:textId="77777777" w:rsidR="00C62D01" w:rsidRDefault="00C62D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B12B8"/>
    <w:multiLevelType w:val="multilevel"/>
    <w:tmpl w:val="923EFDFA"/>
    <w:lvl w:ilvl="0">
      <w:start w:val="1"/>
      <w:numFmt w:val="decimal"/>
      <w:pStyle w:val="a"/>
      <w:lvlText w:val="%1."/>
      <w:lvlJc w:val="left"/>
      <w:pPr>
        <w:ind w:left="480" w:hanging="480"/>
      </w:pPr>
    </w:lvl>
    <w:lvl w:ilvl="1">
      <w:start w:val="1"/>
      <w:numFmt w:val="decimal"/>
      <w:pStyle w:val="a0"/>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96E69AF"/>
    <w:multiLevelType w:val="multilevel"/>
    <w:tmpl w:val="36D4C7D6"/>
    <w:lvl w:ilvl="0">
      <w:start w:val="1"/>
      <w:numFmt w:val="decimal"/>
      <w:lvlText w:val="%1、"/>
      <w:lvlJc w:val="left"/>
      <w:pPr>
        <w:ind w:left="567" w:hanging="567"/>
      </w:pPr>
      <w:rPr>
        <w:rFonts w:ascii="Times New Roman" w:eastAsia="Times New Roman" w:hAnsi="Times New Roman" w:cs="Times New Roman"/>
        <w:b w:val="0"/>
        <w:i w:val="0"/>
        <w:smallCaps w:val="0"/>
        <w:strike w:val="0"/>
        <w:color w:val="000000"/>
        <w:sz w:val="22"/>
        <w:szCs w:val="22"/>
        <w:u w:val="none"/>
        <w:vertAlign w:val="baseline"/>
      </w:rPr>
    </w:lvl>
    <w:lvl w:ilvl="1">
      <w:start w:val="1"/>
      <w:numFmt w:val="decimal"/>
      <w:lvlText w:val="%2、"/>
      <w:lvlJc w:val="left"/>
      <w:pPr>
        <w:ind w:left="907" w:hanging="340"/>
      </w:pPr>
      <w:rPr>
        <w:b w:val="0"/>
        <w:i w:val="0"/>
        <w:sz w:val="28"/>
        <w:szCs w:val="28"/>
      </w:rPr>
    </w:lvl>
    <w:lvl w:ilvl="2">
      <w:start w:val="1"/>
      <w:numFmt w:val="decimal"/>
      <w:lvlText w:val="%2-%3、"/>
      <w:lvlJc w:val="left"/>
      <w:pPr>
        <w:ind w:left="1418" w:hanging="454"/>
      </w:pPr>
    </w:lvl>
    <w:lvl w:ilvl="3">
      <w:start w:val="1"/>
      <w:numFmt w:val="decimal"/>
      <w:lvlText w:val="%2-%3-%4、"/>
      <w:lvlJc w:val="left"/>
      <w:pPr>
        <w:ind w:left="1928" w:hanging="510"/>
      </w:pPr>
    </w:lvl>
    <w:lvl w:ilvl="4">
      <w:start w:val="1"/>
      <w:numFmt w:val="decimal"/>
      <w:lvlText w:val="%1.%2.%3.%4.%5"/>
      <w:lvlJc w:val="left"/>
      <w:pPr>
        <w:ind w:left="2835" w:hanging="567"/>
      </w:pPr>
    </w:lvl>
    <w:lvl w:ilvl="5">
      <w:start w:val="1"/>
      <w:numFmt w:val="decimal"/>
      <w:lvlText w:val="%1.%2.%3.%4.%5.%6"/>
      <w:lvlJc w:val="left"/>
      <w:pPr>
        <w:ind w:left="3402" w:hanging="567"/>
      </w:pPr>
    </w:lvl>
    <w:lvl w:ilvl="6">
      <w:start w:val="1"/>
      <w:numFmt w:val="decimal"/>
      <w:lvlText w:val="%1.%2.%3.%4.%5.%6.%7"/>
      <w:lvlJc w:val="left"/>
      <w:pPr>
        <w:ind w:left="3969" w:hanging="567"/>
      </w:pPr>
    </w:lvl>
    <w:lvl w:ilvl="7">
      <w:start w:val="1"/>
      <w:numFmt w:val="decimal"/>
      <w:lvlText w:val="%1.%2.%3.%4.%5.%6.%7.%8"/>
      <w:lvlJc w:val="left"/>
      <w:pPr>
        <w:ind w:left="4536" w:hanging="566"/>
      </w:pPr>
    </w:lvl>
    <w:lvl w:ilvl="8">
      <w:start w:val="1"/>
      <w:numFmt w:val="decimal"/>
      <w:lvlText w:val="%1.%2.%3.%4.%5.%6.%7.%8.%9"/>
      <w:lvlJc w:val="left"/>
      <w:pPr>
        <w:ind w:left="5103" w:hanging="567"/>
      </w:pPr>
    </w:lvl>
  </w:abstractNum>
  <w:abstractNum w:abstractNumId="2" w15:restartNumberingAfterBreak="0">
    <w:nsid w:val="24C12993"/>
    <w:multiLevelType w:val="multilevel"/>
    <w:tmpl w:val="6ED09B72"/>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517960A4"/>
    <w:multiLevelType w:val="multilevel"/>
    <w:tmpl w:val="95EAC83C"/>
    <w:lvl w:ilvl="0">
      <w:start w:val="1"/>
      <w:numFmt w:val="decimal"/>
      <w:lvlText w:val="(%1)"/>
      <w:lvlJc w:val="left"/>
      <w:pPr>
        <w:ind w:left="1440" w:hanging="480"/>
      </w:pPr>
    </w:lvl>
    <w:lvl w:ilvl="1">
      <w:start w:val="1"/>
      <w:numFmt w:val="decim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decim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decimal"/>
      <w:lvlText w:val="%8、"/>
      <w:lvlJc w:val="left"/>
      <w:pPr>
        <w:ind w:left="4800" w:hanging="480"/>
      </w:pPr>
    </w:lvl>
    <w:lvl w:ilvl="8">
      <w:start w:val="1"/>
      <w:numFmt w:val="lowerRoman"/>
      <w:lvlText w:val="%9."/>
      <w:lvlJc w:val="right"/>
      <w:pPr>
        <w:ind w:left="5280" w:hanging="4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44A"/>
    <w:rsid w:val="0028644A"/>
    <w:rsid w:val="002B5A52"/>
    <w:rsid w:val="00890FD0"/>
    <w:rsid w:val="00C62D01"/>
    <w:rsid w:val="00D768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AD843"/>
  <w15:docId w15:val="{C6558BAA-7083-40E2-8675-E14926309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D7BA7"/>
    <w:rPr>
      <w:kern w:val="2"/>
      <w:szCs w:val="22"/>
    </w:rPr>
  </w:style>
  <w:style w:type="paragraph" w:styleId="1">
    <w:name w:val="heading 1"/>
    <w:basedOn w:val="a1"/>
    <w:next w:val="a1"/>
    <w:link w:val="10"/>
    <w:uiPriority w:val="9"/>
    <w:qFormat/>
    <w:rsid w:val="00C6793B"/>
    <w:pPr>
      <w:keepNext/>
      <w:spacing w:before="180" w:after="180" w:line="720" w:lineRule="auto"/>
      <w:outlineLvl w:val="0"/>
    </w:pPr>
    <w:rPr>
      <w:rFonts w:ascii="Calibri Light" w:hAnsi="Calibri Light"/>
      <w:b/>
      <w:bCs/>
      <w:kern w:val="52"/>
      <w:sz w:val="52"/>
      <w:szCs w:val="52"/>
    </w:rPr>
  </w:style>
  <w:style w:type="paragraph" w:styleId="2">
    <w:name w:val="heading 2"/>
    <w:basedOn w:val="a1"/>
    <w:next w:val="a1"/>
    <w:link w:val="20"/>
    <w:uiPriority w:val="9"/>
    <w:semiHidden/>
    <w:unhideWhenUsed/>
    <w:qFormat/>
    <w:rsid w:val="008972CC"/>
    <w:pPr>
      <w:keepNext/>
      <w:spacing w:line="720" w:lineRule="auto"/>
      <w:outlineLvl w:val="1"/>
    </w:pPr>
    <w:rPr>
      <w:rFonts w:ascii="Calibri Light" w:hAnsi="Calibri Light"/>
      <w:b/>
      <w:bCs/>
      <w:sz w:val="48"/>
      <w:szCs w:val="48"/>
    </w:rPr>
  </w:style>
  <w:style w:type="paragraph" w:styleId="3">
    <w:name w:val="heading 3"/>
    <w:basedOn w:val="a1"/>
    <w:next w:val="a1"/>
    <w:uiPriority w:val="9"/>
    <w:semiHidden/>
    <w:unhideWhenUsed/>
    <w:qFormat/>
    <w:pPr>
      <w:keepNext/>
      <w:keepLines/>
      <w:spacing w:before="280" w:after="80"/>
      <w:outlineLvl w:val="2"/>
    </w:pPr>
    <w:rPr>
      <w:b/>
      <w:sz w:val="28"/>
      <w:szCs w:val="28"/>
    </w:rPr>
  </w:style>
  <w:style w:type="paragraph" w:styleId="4">
    <w:name w:val="heading 4"/>
    <w:basedOn w:val="a1"/>
    <w:next w:val="a1"/>
    <w:uiPriority w:val="9"/>
    <w:semiHidden/>
    <w:unhideWhenUsed/>
    <w:qFormat/>
    <w:pPr>
      <w:keepNext/>
      <w:keepLines/>
      <w:spacing w:before="240" w:after="40"/>
      <w:outlineLvl w:val="3"/>
    </w:pPr>
    <w:rPr>
      <w:b/>
      <w:szCs w:val="24"/>
    </w:rPr>
  </w:style>
  <w:style w:type="paragraph" w:styleId="5">
    <w:name w:val="heading 5"/>
    <w:basedOn w:val="a1"/>
    <w:next w:val="a1"/>
    <w:uiPriority w:val="9"/>
    <w:semiHidden/>
    <w:unhideWhenUsed/>
    <w:qFormat/>
    <w:pPr>
      <w:keepNext/>
      <w:keepLines/>
      <w:spacing w:before="220" w:after="40"/>
      <w:outlineLvl w:val="4"/>
    </w:pPr>
    <w:rPr>
      <w:b/>
      <w:sz w:val="22"/>
    </w:rPr>
  </w:style>
  <w:style w:type="paragraph" w:styleId="6">
    <w:name w:val="heading 6"/>
    <w:basedOn w:val="a1"/>
    <w:next w:val="a1"/>
    <w:uiPriority w:val="9"/>
    <w:semiHidden/>
    <w:unhideWhenUsed/>
    <w:qFormat/>
    <w:pPr>
      <w:keepNext/>
      <w:keepLines/>
      <w:spacing w:before="200" w:after="40"/>
      <w:outlineLvl w:val="5"/>
    </w:pPr>
    <w:rPr>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1"/>
    <w:next w:val="a1"/>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10">
    <w:name w:val="標題 1 字元"/>
    <w:link w:val="1"/>
    <w:uiPriority w:val="99"/>
    <w:locked/>
    <w:rsid w:val="00C6793B"/>
    <w:rPr>
      <w:rFonts w:ascii="Calibri Light" w:eastAsia="新細明體" w:hAnsi="Calibri Light" w:cs="Times New Roman"/>
      <w:b/>
      <w:bCs/>
      <w:kern w:val="52"/>
      <w:sz w:val="52"/>
      <w:szCs w:val="52"/>
    </w:rPr>
  </w:style>
  <w:style w:type="character" w:customStyle="1" w:styleId="20">
    <w:name w:val="標題 2 字元"/>
    <w:link w:val="2"/>
    <w:uiPriority w:val="99"/>
    <w:locked/>
    <w:rsid w:val="008972CC"/>
    <w:rPr>
      <w:rFonts w:ascii="Calibri Light" w:eastAsia="新細明體" w:hAnsi="Calibri Light" w:cs="Times New Roman"/>
      <w:b/>
      <w:bCs/>
      <w:sz w:val="48"/>
      <w:szCs w:val="48"/>
    </w:rPr>
  </w:style>
  <w:style w:type="paragraph" w:customStyle="1" w:styleId="Default">
    <w:name w:val="Default"/>
    <w:uiPriority w:val="99"/>
    <w:rsid w:val="00BE03E8"/>
    <w:pPr>
      <w:autoSpaceDE w:val="0"/>
      <w:autoSpaceDN w:val="0"/>
      <w:adjustRightInd w:val="0"/>
    </w:pPr>
    <w:rPr>
      <w:rFonts w:ascii="標楷體" w:eastAsia="標楷體" w:cs="標楷體"/>
      <w:color w:val="000000"/>
    </w:rPr>
  </w:style>
  <w:style w:type="paragraph" w:styleId="a6">
    <w:name w:val="header"/>
    <w:basedOn w:val="a1"/>
    <w:link w:val="a7"/>
    <w:uiPriority w:val="99"/>
    <w:rsid w:val="00C93617"/>
    <w:pPr>
      <w:tabs>
        <w:tab w:val="center" w:pos="4153"/>
        <w:tab w:val="right" w:pos="8306"/>
      </w:tabs>
      <w:snapToGrid w:val="0"/>
    </w:pPr>
    <w:rPr>
      <w:sz w:val="20"/>
      <w:szCs w:val="20"/>
    </w:rPr>
  </w:style>
  <w:style w:type="character" w:customStyle="1" w:styleId="a7">
    <w:name w:val="頁首 字元"/>
    <w:link w:val="a6"/>
    <w:uiPriority w:val="99"/>
    <w:locked/>
    <w:rsid w:val="00C93617"/>
    <w:rPr>
      <w:rFonts w:cs="Times New Roman"/>
      <w:sz w:val="20"/>
      <w:szCs w:val="20"/>
    </w:rPr>
  </w:style>
  <w:style w:type="paragraph" w:styleId="a8">
    <w:name w:val="footer"/>
    <w:basedOn w:val="a1"/>
    <w:link w:val="a9"/>
    <w:uiPriority w:val="99"/>
    <w:rsid w:val="00C93617"/>
    <w:pPr>
      <w:tabs>
        <w:tab w:val="center" w:pos="4153"/>
        <w:tab w:val="right" w:pos="8306"/>
      </w:tabs>
      <w:snapToGrid w:val="0"/>
    </w:pPr>
    <w:rPr>
      <w:sz w:val="20"/>
      <w:szCs w:val="20"/>
    </w:rPr>
  </w:style>
  <w:style w:type="character" w:customStyle="1" w:styleId="a9">
    <w:name w:val="頁尾 字元"/>
    <w:link w:val="a8"/>
    <w:uiPriority w:val="99"/>
    <w:locked/>
    <w:rsid w:val="00C93617"/>
    <w:rPr>
      <w:rFonts w:cs="Times New Roman"/>
      <w:sz w:val="20"/>
      <w:szCs w:val="20"/>
    </w:rPr>
  </w:style>
  <w:style w:type="paragraph" w:styleId="aa">
    <w:name w:val="List Paragraph"/>
    <w:basedOn w:val="a1"/>
    <w:uiPriority w:val="99"/>
    <w:qFormat/>
    <w:rsid w:val="000269DC"/>
    <w:pPr>
      <w:ind w:leftChars="200" w:left="480"/>
    </w:pPr>
  </w:style>
  <w:style w:type="paragraph" w:styleId="ab">
    <w:name w:val="Normal Indent"/>
    <w:basedOn w:val="a1"/>
    <w:uiPriority w:val="99"/>
    <w:semiHidden/>
    <w:rsid w:val="00C416EA"/>
    <w:pPr>
      <w:ind w:left="1800" w:hanging="541"/>
    </w:pPr>
    <w:rPr>
      <w:rFonts w:ascii="Times New Roman" w:hAnsi="Times New Roman"/>
      <w:szCs w:val="20"/>
    </w:rPr>
  </w:style>
  <w:style w:type="paragraph" w:styleId="ac">
    <w:name w:val="No Spacing"/>
    <w:uiPriority w:val="99"/>
    <w:qFormat/>
    <w:rsid w:val="00755F7D"/>
    <w:rPr>
      <w:kern w:val="2"/>
      <w:szCs w:val="22"/>
    </w:rPr>
  </w:style>
  <w:style w:type="paragraph" w:customStyle="1" w:styleId="a">
    <w:name w:val="項目標題"/>
    <w:basedOn w:val="a1"/>
    <w:next w:val="a0"/>
    <w:link w:val="ad"/>
    <w:autoRedefine/>
    <w:uiPriority w:val="99"/>
    <w:rsid w:val="00D47E4F"/>
    <w:pPr>
      <w:numPr>
        <w:numId w:val="3"/>
      </w:numPr>
      <w:spacing w:beforeLines="50" w:afterLines="50" w:line="240" w:lineRule="atLeast"/>
      <w:ind w:left="482" w:rightChars="-89" w:right="-214" w:hanging="482"/>
      <w:outlineLvl w:val="0"/>
    </w:pPr>
    <w:rPr>
      <w:rFonts w:ascii="標楷體" w:eastAsia="標楷體" w:hAnsi="標楷體"/>
      <w:b/>
      <w:bCs/>
      <w:sz w:val="36"/>
      <w:szCs w:val="28"/>
    </w:rPr>
  </w:style>
  <w:style w:type="paragraph" w:customStyle="1" w:styleId="a0">
    <w:name w:val="項目"/>
    <w:basedOn w:val="a1"/>
    <w:link w:val="ae"/>
    <w:autoRedefine/>
    <w:uiPriority w:val="99"/>
    <w:rsid w:val="00B033D5"/>
    <w:pPr>
      <w:numPr>
        <w:ilvl w:val="1"/>
        <w:numId w:val="3"/>
      </w:numPr>
      <w:spacing w:line="240" w:lineRule="atLeast"/>
      <w:outlineLvl w:val="1"/>
    </w:pPr>
    <w:rPr>
      <w:rFonts w:ascii="Times New Roman" w:eastAsia="標楷體" w:hAnsi="Times New Roman"/>
      <w:kern w:val="0"/>
      <w:sz w:val="28"/>
    </w:rPr>
  </w:style>
  <w:style w:type="character" w:customStyle="1" w:styleId="ad">
    <w:name w:val="項目標題 字元"/>
    <w:link w:val="a"/>
    <w:uiPriority w:val="99"/>
    <w:locked/>
    <w:rsid w:val="00D47E4F"/>
    <w:rPr>
      <w:rFonts w:ascii="標楷體" w:eastAsia="標楷體" w:hAnsi="標楷體" w:cs="Times New Roman"/>
      <w:b/>
      <w:bCs/>
      <w:kern w:val="2"/>
      <w:sz w:val="28"/>
      <w:szCs w:val="28"/>
      <w:lang w:val="en-US" w:eastAsia="zh-TW" w:bidi="ar-SA"/>
    </w:rPr>
  </w:style>
  <w:style w:type="character" w:customStyle="1" w:styleId="ae">
    <w:name w:val="項目 字元"/>
    <w:link w:val="a0"/>
    <w:uiPriority w:val="99"/>
    <w:locked/>
    <w:rsid w:val="00B033D5"/>
    <w:rPr>
      <w:rFonts w:eastAsia="標楷體" w:cs="Times New Roman"/>
      <w:sz w:val="22"/>
      <w:szCs w:val="22"/>
      <w:lang w:val="en-US" w:eastAsia="zh-TW" w:bidi="ar-SA"/>
    </w:rPr>
  </w:style>
  <w:style w:type="paragraph" w:styleId="af">
    <w:name w:val="Balloon Text"/>
    <w:basedOn w:val="a1"/>
    <w:link w:val="af0"/>
    <w:uiPriority w:val="99"/>
    <w:semiHidden/>
    <w:rsid w:val="004371B4"/>
    <w:rPr>
      <w:rFonts w:ascii="Calibri Light" w:hAnsi="Calibri Light"/>
      <w:sz w:val="18"/>
      <w:szCs w:val="18"/>
    </w:rPr>
  </w:style>
  <w:style w:type="character" w:customStyle="1" w:styleId="af0">
    <w:name w:val="註解方塊文字 字元"/>
    <w:link w:val="af"/>
    <w:uiPriority w:val="99"/>
    <w:semiHidden/>
    <w:locked/>
    <w:rsid w:val="004371B4"/>
    <w:rPr>
      <w:rFonts w:ascii="Calibri Light" w:eastAsia="新細明體" w:hAnsi="Calibri Light" w:cs="Times New Roman"/>
      <w:sz w:val="18"/>
      <w:szCs w:val="18"/>
    </w:rPr>
  </w:style>
  <w:style w:type="table" w:customStyle="1" w:styleId="TableGrid">
    <w:name w:val="TableGrid"/>
    <w:rsid w:val="00C054DA"/>
    <w:rPr>
      <w:kern w:val="2"/>
      <w:szCs w:val="22"/>
    </w:rPr>
    <w:tblPr>
      <w:tblCellMar>
        <w:top w:w="0" w:type="dxa"/>
        <w:left w:w="0" w:type="dxa"/>
        <w:bottom w:w="0" w:type="dxa"/>
        <w:right w:w="0" w:type="dxa"/>
      </w:tblCellMar>
    </w:tblPr>
  </w:style>
  <w:style w:type="paragraph" w:styleId="Web">
    <w:name w:val="Normal (Web)"/>
    <w:basedOn w:val="a1"/>
    <w:uiPriority w:val="99"/>
    <w:semiHidden/>
    <w:unhideWhenUsed/>
    <w:rsid w:val="00723CB1"/>
    <w:pPr>
      <w:widowControl/>
      <w:spacing w:before="100" w:beforeAutospacing="1" w:after="100" w:afterAutospacing="1"/>
    </w:pPr>
    <w:rPr>
      <w:rFonts w:ascii="新細明體" w:hAnsi="新細明體" w:cs="新細明體"/>
      <w:kern w:val="0"/>
      <w:szCs w:val="24"/>
    </w:rPr>
  </w:style>
  <w:style w:type="character" w:customStyle="1" w:styleId="qowt-font3-dfkaisb">
    <w:name w:val="qowt-font3-dfkaisb"/>
    <w:basedOn w:val="a2"/>
    <w:rsid w:val="00F252F6"/>
  </w:style>
  <w:style w:type="character" w:customStyle="1" w:styleId="qowt-font2">
    <w:name w:val="qowt-font2"/>
    <w:basedOn w:val="a2"/>
    <w:rsid w:val="00C714BB"/>
  </w:style>
  <w:style w:type="paragraph" w:styleId="af1">
    <w:name w:val="Subtitle"/>
    <w:basedOn w:val="a1"/>
    <w:next w:val="a1"/>
    <w:uiPriority w:val="11"/>
    <w:qFormat/>
    <w:pPr>
      <w:keepNext/>
      <w:keepLines/>
      <w:spacing w:before="360" w:after="80"/>
    </w:pPr>
    <w:rPr>
      <w:rFonts w:ascii="Georgia" w:eastAsia="Georgia" w:hAnsi="Georgia" w:cs="Georgia"/>
      <w:i/>
      <w:color w:val="666666"/>
      <w:sz w:val="48"/>
      <w:szCs w:val="48"/>
    </w:rPr>
  </w:style>
  <w:style w:type="table" w:customStyle="1" w:styleId="af2">
    <w:basedOn w:val="TableNormal1"/>
    <w:tblPr>
      <w:tblStyleRowBandSize w:val="1"/>
      <w:tblStyleColBandSize w:val="1"/>
      <w:tblCellMar>
        <w:top w:w="46" w:type="dxa"/>
        <w:right w:w="61" w:type="dxa"/>
      </w:tblCellMar>
    </w:tblPr>
  </w:style>
  <w:style w:type="table" w:customStyle="1" w:styleId="af3">
    <w:basedOn w:val="TableNormal1"/>
    <w:tblPr>
      <w:tblStyleRowBandSize w:val="1"/>
      <w:tblStyleColBandSize w:val="1"/>
      <w:tblCellMar>
        <w:top w:w="46" w:type="dxa"/>
        <w:right w:w="61" w:type="dxa"/>
      </w:tblCellMar>
    </w:tblPr>
  </w:style>
  <w:style w:type="table" w:customStyle="1" w:styleId="af4">
    <w:basedOn w:val="TableNormal0"/>
    <w:tblPr>
      <w:tblStyleRowBandSize w:val="1"/>
      <w:tblStyleColBandSize w:val="1"/>
      <w:tblCellMar>
        <w:top w:w="46" w:type="dxa"/>
        <w:right w:w="6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YpVMDCQKoiexrYKsGFxrjYzKQ==">CgMxLjA4AHIhMS1jcnktQmhjSThtc1lqMEpIVFYxY3FMQzZGQWFvVWlo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544</Words>
  <Characters>3107</Characters>
  <Application>Microsoft Office Word</Application>
  <DocSecurity>0</DocSecurity>
  <Lines>25</Lines>
  <Paragraphs>7</Paragraphs>
  <ScaleCrop>false</ScaleCrop>
  <Company>CTS</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Chi-Chen Lin</dc:creator>
  <cp:lastModifiedBy>陳光隆</cp:lastModifiedBy>
  <cp:revision>3</cp:revision>
  <dcterms:created xsi:type="dcterms:W3CDTF">2024-05-29T06:46:00Z</dcterms:created>
  <dcterms:modified xsi:type="dcterms:W3CDTF">2024-09-06T02:47:00Z</dcterms:modified>
</cp:coreProperties>
</file>