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803DA" w14:textId="77777777" w:rsidR="007B714E" w:rsidRDefault="00185C06">
      <w:pPr>
        <w:spacing w:after="590"/>
        <w:jc w:val="center"/>
        <w:rPr>
          <w:rFonts w:ascii="標楷體" w:eastAsia="標楷體" w:hAnsi="標楷體" w:cs="標楷體"/>
          <w:b/>
          <w:sz w:val="56"/>
          <w:szCs w:val="56"/>
        </w:rPr>
      </w:pPr>
      <w:r>
        <w:rPr>
          <w:rFonts w:ascii="標楷體" w:eastAsia="標楷體" w:hAnsi="標楷體" w:cs="標楷體"/>
          <w:b/>
          <w:sz w:val="56"/>
          <w:szCs w:val="56"/>
        </w:rPr>
        <w:t>中華電視股份有限公司</w:t>
      </w:r>
    </w:p>
    <w:p w14:paraId="3CD880D6" w14:textId="77777777" w:rsidR="007B714E" w:rsidRDefault="00185C06">
      <w:pPr>
        <w:spacing w:after="590"/>
        <w:jc w:val="center"/>
      </w:pPr>
      <w:r>
        <w:rPr>
          <w:rFonts w:ascii="標楷體" w:eastAsia="標楷體" w:hAnsi="標楷體" w:cs="標楷體"/>
          <w:b/>
          <w:sz w:val="56"/>
          <w:szCs w:val="56"/>
        </w:rPr>
        <w:t>「</w:t>
      </w:r>
      <w:r>
        <w:rPr>
          <w:rFonts w:ascii="標楷體" w:eastAsia="標楷體" w:hAnsi="標楷體" w:cs="標楷體"/>
          <w:b/>
          <w:sz w:val="56"/>
          <w:szCs w:val="56"/>
        </w:rPr>
        <w:t>113</w:t>
      </w:r>
      <w:r>
        <w:rPr>
          <w:rFonts w:ascii="標楷體" w:eastAsia="標楷體" w:hAnsi="標楷體" w:cs="標楷體"/>
          <w:b/>
          <w:sz w:val="56"/>
          <w:szCs w:val="56"/>
        </w:rPr>
        <w:t>年度新媒體部網路負載平衡設備更新」採購案</w:t>
      </w:r>
      <w:r>
        <w:br w:type="page"/>
      </w:r>
      <w:r>
        <w:rPr>
          <w:noProof/>
        </w:rPr>
        <mc:AlternateContent>
          <mc:Choice Requires="wps">
            <w:drawing>
              <wp:anchor distT="0" distB="0" distL="114300" distR="114300" simplePos="0" relativeHeight="251658240" behindDoc="0" locked="0" layoutInCell="1" hidden="0" allowOverlap="1" wp14:anchorId="7C94D499" wp14:editId="74ACE2A5">
                <wp:simplePos x="0" y="0"/>
                <wp:positionH relativeFrom="column">
                  <wp:posOffset>1028700</wp:posOffset>
                </wp:positionH>
                <wp:positionV relativeFrom="paragraph">
                  <wp:posOffset>1587500</wp:posOffset>
                </wp:positionV>
                <wp:extent cx="2889885" cy="1657985"/>
                <wp:effectExtent l="0" t="0" r="0" b="0"/>
                <wp:wrapSquare wrapText="bothSides" distT="0" distB="0" distL="114300" distR="114300"/>
                <wp:docPr id="8" name="矩形 8"/>
                <wp:cNvGraphicFramePr/>
                <a:graphic xmlns:a="http://schemas.openxmlformats.org/drawingml/2006/main">
                  <a:graphicData uri="http://schemas.microsoft.com/office/word/2010/wordprocessingShape">
                    <wps:wsp>
                      <wps:cNvSpPr/>
                      <wps:spPr>
                        <a:xfrm>
                          <a:off x="3915345" y="2965295"/>
                          <a:ext cx="2861310" cy="1629410"/>
                        </a:xfrm>
                        <a:prstGeom prst="rect">
                          <a:avLst/>
                        </a:prstGeom>
                        <a:noFill/>
                        <a:ln w="9525" cap="flat" cmpd="sng">
                          <a:solidFill>
                            <a:srgbClr val="FFFFFF"/>
                          </a:solidFill>
                          <a:prstDash val="solid"/>
                          <a:miter lim="800000"/>
                          <a:headEnd type="none" w="sm" len="sm"/>
                          <a:tailEnd type="none" w="sm" len="sm"/>
                        </a:ln>
                      </wps:spPr>
                      <wps:txbx>
                        <w:txbxContent>
                          <w:p w14:paraId="20018FF7" w14:textId="77777777" w:rsidR="007B714E" w:rsidRDefault="00185C06">
                            <w:pPr>
                              <w:jc w:val="center"/>
                              <w:textDirection w:val="btLr"/>
                            </w:pPr>
                            <w:r>
                              <w:rPr>
                                <w:rFonts w:ascii="標楷體" w:eastAsia="標楷體" w:hAnsi="標楷體" w:cs="標楷體"/>
                                <w:color w:val="000000"/>
                                <w:sz w:val="80"/>
                              </w:rPr>
                              <w:t>招標規範</w:t>
                            </w:r>
                          </w:p>
                        </w:txbxContent>
                      </wps:txbx>
                      <wps:bodyPr spcFirstLastPara="1" wrap="square" lIns="91425" tIns="45700" rIns="91425" bIns="45700" anchor="ctr" anchorCtr="0">
                        <a:noAutofit/>
                      </wps:bodyPr>
                    </wps:wsp>
                  </a:graphicData>
                </a:graphic>
              </wp:anchor>
            </w:drawing>
          </mc:Choice>
          <mc:Fallback>
            <w:pict>
              <v:rect w14:anchorId="7C94D499" id="矩形 8" o:spid="_x0000_s1026" style="position:absolute;left:0;text-align:left;margin-left:81pt;margin-top:125pt;width:227.55pt;height:130.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" filled="f" strokecolor="white">
                <v:stroke startarrowwidth="narrow" startarrowlength="short" endarrowwidth="narrow" endarrowlength="short"/>
                <v:textbox inset="2.53958mm,1.2694mm,2.53958mm,1.2694mm">
                  <w:txbxContent>
                    <w:p w14:paraId="20018FF7" w14:textId="77777777" w:rsidR="007B714E" w:rsidRDefault="00185C06">
                      <w:pPr>
                        <w:jc w:val="center"/>
                        <w:textDirection w:val="btLr"/>
                      </w:pPr>
                      <w:r>
                        <w:rPr>
                          <w:rFonts w:ascii="標楷體" w:eastAsia="標楷體" w:hAnsi="標楷體" w:cs="標楷體"/>
                          <w:color w:val="000000"/>
                          <w:sz w:val="80"/>
                        </w:rPr>
                        <w:t>招標規範</w:t>
                      </w: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277FD7E4" wp14:editId="6E8A1AB8">
                <wp:simplePos x="0" y="0"/>
                <wp:positionH relativeFrom="column">
                  <wp:posOffset>1295400</wp:posOffset>
                </wp:positionH>
                <wp:positionV relativeFrom="paragraph">
                  <wp:posOffset>6362700</wp:posOffset>
                </wp:positionV>
                <wp:extent cx="2468880" cy="619598"/>
                <wp:effectExtent l="0" t="0" r="0" b="0"/>
                <wp:wrapNone/>
                <wp:docPr id="7" name="矩形 7"/>
                <wp:cNvGraphicFramePr/>
                <a:graphic xmlns:a="http://schemas.openxmlformats.org/drawingml/2006/main">
                  <a:graphicData uri="http://schemas.microsoft.com/office/word/2010/wordprocessingShape">
                    <wps:wsp>
                      <wps:cNvSpPr/>
                      <wps:spPr>
                        <a:xfrm>
                          <a:off x="4125848" y="3486630"/>
                          <a:ext cx="2440305" cy="58674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5A28363D" w14:textId="1A791580" w:rsidR="007B714E" w:rsidRDefault="00185C06">
                            <w:pPr>
                              <w:jc w:val="center"/>
                              <w:textDirection w:val="btLr"/>
                            </w:pPr>
                            <w:r>
                              <w:rPr>
                                <w:rFonts w:ascii="標楷體" w:eastAsia="標楷體" w:hAnsi="標楷體" w:cs="標楷體"/>
                                <w:color w:val="000000"/>
                                <w:sz w:val="36"/>
                              </w:rPr>
                              <w:t>中華民國</w:t>
                            </w:r>
                            <w:r>
                              <w:rPr>
                                <w:rFonts w:ascii="標楷體" w:eastAsia="標楷體" w:hAnsi="標楷體" w:cs="標楷體"/>
                                <w:color w:val="000000"/>
                                <w:sz w:val="36"/>
                              </w:rPr>
                              <w:t>113</w:t>
                            </w:r>
                            <w:r>
                              <w:rPr>
                                <w:rFonts w:ascii="標楷體" w:eastAsia="標楷體" w:hAnsi="標楷體" w:cs="標楷體"/>
                                <w:color w:val="000000"/>
                                <w:sz w:val="36"/>
                              </w:rPr>
                              <w:t>年</w:t>
                            </w:r>
                            <w:r w:rsidR="00675D79">
                              <w:rPr>
                                <w:rFonts w:ascii="標楷體" w:eastAsia="標楷體" w:hAnsi="標楷體" w:cs="標楷體" w:hint="eastAsia"/>
                                <w:color w:val="000000"/>
                                <w:sz w:val="36"/>
                              </w:rPr>
                              <w:t>9</w:t>
                            </w:r>
                            <w:r>
                              <w:rPr>
                                <w:rFonts w:ascii="標楷體" w:eastAsia="標楷體" w:hAnsi="標楷體" w:cs="標楷體"/>
                                <w:color w:val="000000"/>
                                <w:sz w:val="36"/>
                              </w:rPr>
                              <w:t>月</w:t>
                            </w:r>
                          </w:p>
                        </w:txbxContent>
                      </wps:txbx>
                      <wps:bodyPr spcFirstLastPara="1" wrap="square" lIns="91425" tIns="45700" rIns="91425" bIns="45700" anchor="ctr" anchorCtr="0">
                        <a:noAutofit/>
                      </wps:bodyPr>
                    </wps:wsp>
                  </a:graphicData>
                </a:graphic>
              </wp:anchor>
            </w:drawing>
          </mc:Choice>
          <mc:Fallback>
            <w:pict>
              <v:rect w14:anchorId="277FD7E4" id="矩形 7" o:spid="_x0000_s1027" style="position:absolute;left:0;text-align:left;margin-left:102pt;margin-top:501pt;width:194.4pt;height:48.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" strokecolor="white">
                <v:stroke startarrowwidth="narrow" startarrowlength="short" endarrowwidth="narrow" endarrowlength="short"/>
                <v:textbox inset="2.53958mm,1.2694mm,2.53958mm,1.2694mm">
                  <w:txbxContent>
                    <w:p w14:paraId="5A28363D" w14:textId="1A791580" w:rsidR="007B714E" w:rsidRDefault="00185C06">
                      <w:pPr>
                        <w:jc w:val="center"/>
                        <w:textDirection w:val="btLr"/>
                      </w:pPr>
                      <w:r>
                        <w:rPr>
                          <w:rFonts w:ascii="標楷體" w:eastAsia="標楷體" w:hAnsi="標楷體" w:cs="標楷體"/>
                          <w:color w:val="000000"/>
                          <w:sz w:val="36"/>
                        </w:rPr>
                        <w:t>中華民國</w:t>
                      </w:r>
                      <w:r>
                        <w:rPr>
                          <w:rFonts w:ascii="標楷體" w:eastAsia="標楷體" w:hAnsi="標楷體" w:cs="標楷體"/>
                          <w:color w:val="000000"/>
                          <w:sz w:val="36"/>
                        </w:rPr>
                        <w:t>113</w:t>
                      </w:r>
                      <w:r>
                        <w:rPr>
                          <w:rFonts w:ascii="標楷體" w:eastAsia="標楷體" w:hAnsi="標楷體" w:cs="標楷體"/>
                          <w:color w:val="000000"/>
                          <w:sz w:val="36"/>
                        </w:rPr>
                        <w:t>年</w:t>
                      </w:r>
                      <w:r w:rsidR="00675D79">
                        <w:rPr>
                          <w:rFonts w:ascii="標楷體" w:eastAsia="標楷體" w:hAnsi="標楷體" w:cs="標楷體" w:hint="eastAsia"/>
                          <w:color w:val="000000"/>
                          <w:sz w:val="36"/>
                        </w:rPr>
                        <w:t>9</w:t>
                      </w:r>
                      <w:r>
                        <w:rPr>
                          <w:rFonts w:ascii="標楷體" w:eastAsia="標楷體" w:hAnsi="標楷體" w:cs="標楷體"/>
                          <w:color w:val="000000"/>
                          <w:sz w:val="36"/>
                        </w:rPr>
                        <w:t>月</w:t>
                      </w:r>
                    </w:p>
                  </w:txbxContent>
                </v:textbox>
              </v:rect>
            </w:pict>
          </mc:Fallback>
        </mc:AlternateContent>
      </w:r>
    </w:p>
    <w:p w14:paraId="58D365E3" w14:textId="77777777" w:rsidR="007B714E" w:rsidRDefault="00185C06">
      <w:pPr>
        <w:spacing w:after="106"/>
        <w:ind w:left="2604"/>
        <w:rPr>
          <w:rFonts w:ascii="Times New Roman" w:eastAsia="Times New Roman" w:hAnsi="Times New Roman" w:cs="Times New Roman"/>
          <w:b/>
          <w:sz w:val="32"/>
          <w:szCs w:val="32"/>
        </w:rPr>
      </w:pPr>
      <w:r>
        <w:rPr>
          <w:rFonts w:ascii="標楷體" w:eastAsia="標楷體" w:hAnsi="標楷體" w:cs="標楷體"/>
          <w:sz w:val="32"/>
          <w:szCs w:val="32"/>
          <w:u w:val="single"/>
        </w:rPr>
        <w:lastRenderedPageBreak/>
        <w:t>招</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標</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規</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範</w:t>
      </w:r>
      <w:r>
        <w:rPr>
          <w:rFonts w:ascii="Times New Roman" w:eastAsia="Times New Roman" w:hAnsi="Times New Roman" w:cs="Times New Roman"/>
          <w:b/>
          <w:sz w:val="32"/>
          <w:szCs w:val="32"/>
        </w:rPr>
        <w:t xml:space="preserve"> </w:t>
      </w:r>
    </w:p>
    <w:p w14:paraId="40F88EA1" w14:textId="77777777" w:rsidR="007B714E" w:rsidRDefault="00185C06">
      <w:pPr>
        <w:spacing w:after="106"/>
        <w:rPr>
          <w:rFonts w:ascii="標楷體" w:eastAsia="標楷體" w:hAnsi="標楷體" w:cs="標楷體"/>
        </w:rPr>
      </w:pPr>
      <w:r>
        <w:rPr>
          <w:rFonts w:ascii="標楷體" w:eastAsia="標楷體" w:hAnsi="標楷體" w:cs="標楷體"/>
        </w:rPr>
        <w:t xml:space="preserve"> </w:t>
      </w:r>
    </w:p>
    <w:p w14:paraId="1A84962D" w14:textId="77777777" w:rsidR="007B714E" w:rsidRDefault="00185C06">
      <w:pPr>
        <w:spacing w:after="100"/>
        <w:ind w:left="960" w:hanging="480"/>
        <w:rPr>
          <w:rFonts w:ascii="標楷體" w:eastAsia="標楷體" w:hAnsi="標楷體" w:cs="標楷體"/>
          <w:color w:val="FF0000"/>
        </w:rPr>
      </w:pPr>
      <w:r>
        <w:rPr>
          <w:rFonts w:ascii="標楷體" w:eastAsia="標楷體" w:hAnsi="標楷體" w:cs="標楷體"/>
        </w:rPr>
        <w:t>一、標的名稱：</w:t>
      </w:r>
      <w:r>
        <w:rPr>
          <w:rFonts w:ascii="標楷體" w:eastAsia="標楷體" w:hAnsi="標楷體" w:cs="標楷體"/>
          <w:color w:val="FF0000"/>
        </w:rPr>
        <w:t>「</w:t>
      </w:r>
      <w:r>
        <w:rPr>
          <w:rFonts w:ascii="標楷體" w:eastAsia="標楷體" w:hAnsi="標楷體" w:cs="標楷體"/>
          <w:color w:val="FF0000"/>
        </w:rPr>
        <w:t>113</w:t>
      </w:r>
      <w:r>
        <w:rPr>
          <w:rFonts w:ascii="標楷體" w:eastAsia="標楷體" w:hAnsi="標楷體" w:cs="標楷體"/>
          <w:color w:val="FF0000"/>
        </w:rPr>
        <w:t>年度新媒體部網路負載平衡設備更新」採購案</w:t>
      </w:r>
    </w:p>
    <w:p w14:paraId="6B81EE19" w14:textId="77777777" w:rsidR="007B714E" w:rsidRDefault="00185C06">
      <w:pPr>
        <w:spacing w:after="100"/>
        <w:ind w:left="960" w:hanging="480"/>
        <w:rPr>
          <w:rFonts w:ascii="標楷體" w:eastAsia="標楷體" w:hAnsi="標楷體" w:cs="標楷體"/>
        </w:rPr>
      </w:pPr>
      <w:r>
        <w:rPr>
          <w:rFonts w:ascii="標楷體" w:eastAsia="標楷體" w:hAnsi="標楷體" w:cs="標楷體"/>
        </w:rPr>
        <w:t>二、需求通則：</w:t>
      </w:r>
    </w:p>
    <w:p w14:paraId="7298264C" w14:textId="77777777" w:rsidR="007B714E" w:rsidRDefault="00185C06">
      <w:pPr>
        <w:spacing w:after="100"/>
        <w:ind w:left="1440" w:hanging="480"/>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一</w:t>
      </w:r>
      <w:r>
        <w:rPr>
          <w:rFonts w:ascii="標楷體" w:eastAsia="標楷體" w:hAnsi="標楷體" w:cs="標楷體"/>
        </w:rPr>
        <w:t>)</w:t>
      </w:r>
      <w:r>
        <w:rPr>
          <w:rFonts w:ascii="標楷體" w:eastAsia="標楷體" w:hAnsi="標楷體" w:cs="標楷體"/>
        </w:rPr>
        <w:t>得標廠商</w:t>
      </w:r>
      <w:r>
        <w:rPr>
          <w:rFonts w:ascii="標楷體" w:eastAsia="標楷體" w:hAnsi="標楷體" w:cs="標楷體"/>
        </w:rPr>
        <w:t>(</w:t>
      </w:r>
      <w:r>
        <w:rPr>
          <w:rFonts w:ascii="標楷體" w:eastAsia="標楷體" w:hAnsi="標楷體" w:cs="標楷體"/>
        </w:rPr>
        <w:t>或稱立約商或廠商</w:t>
      </w:r>
      <w:r>
        <w:rPr>
          <w:rFonts w:ascii="標楷體" w:eastAsia="標楷體" w:hAnsi="標楷體" w:cs="標楷體"/>
        </w:rPr>
        <w:t>)</w:t>
      </w:r>
      <w:r>
        <w:rPr>
          <w:rFonts w:ascii="標楷體" w:eastAsia="標楷體" w:hAnsi="標楷體" w:cs="標楷體"/>
        </w:rPr>
        <w:t>負責本案之交貨、安裝、設定、檔案複製、驗證、測試及保固。</w:t>
      </w:r>
    </w:p>
    <w:p w14:paraId="52021D21" w14:textId="77777777" w:rsidR="007B714E" w:rsidRDefault="00185C06">
      <w:pPr>
        <w:spacing w:after="100"/>
        <w:ind w:left="1440" w:hanging="480"/>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二</w:t>
      </w:r>
      <w:r>
        <w:rPr>
          <w:rFonts w:ascii="標楷體" w:eastAsia="標楷體" w:hAnsi="標楷體" w:cs="標楷體"/>
        </w:rPr>
        <w:t>)</w:t>
      </w:r>
      <w:r>
        <w:rPr>
          <w:rFonts w:ascii="標楷體" w:eastAsia="標楷體" w:hAnsi="標楷體" w:cs="標楷體"/>
        </w:rPr>
        <w:t>得標廠商需執行本案顧問諮詢、及保固期間之維護作業。應指派一人為單一窗口專案負責人</w:t>
      </w:r>
      <w:r>
        <w:rPr>
          <w:rFonts w:ascii="標楷體" w:eastAsia="標楷體" w:hAnsi="標楷體" w:cs="標楷體"/>
        </w:rPr>
        <w:t>(</w:t>
      </w:r>
      <w:r>
        <w:rPr>
          <w:rFonts w:ascii="標楷體" w:eastAsia="標楷體" w:hAnsi="標楷體" w:cs="標楷體"/>
        </w:rPr>
        <w:t>工程師</w:t>
      </w:r>
      <w:r>
        <w:rPr>
          <w:rFonts w:ascii="標楷體" w:eastAsia="標楷體" w:hAnsi="標楷體" w:cs="標楷體"/>
        </w:rPr>
        <w:t>)</w:t>
      </w:r>
      <w:r>
        <w:rPr>
          <w:rFonts w:ascii="標楷體" w:eastAsia="標楷體" w:hAnsi="標楷體" w:cs="標楷體"/>
        </w:rPr>
        <w:t>，與中華電視股份有限公司</w:t>
      </w:r>
      <w:r>
        <w:rPr>
          <w:rFonts w:ascii="標楷體" w:eastAsia="標楷體" w:hAnsi="標楷體" w:cs="標楷體"/>
        </w:rPr>
        <w:t>(</w:t>
      </w:r>
      <w:r>
        <w:rPr>
          <w:rFonts w:ascii="標楷體" w:eastAsia="標楷體" w:hAnsi="標楷體" w:cs="標楷體"/>
        </w:rPr>
        <w:t>以下簡稱本公司</w:t>
      </w:r>
      <w:r>
        <w:rPr>
          <w:rFonts w:ascii="標楷體" w:eastAsia="標楷體" w:hAnsi="標楷體" w:cs="標楷體"/>
        </w:rPr>
        <w:t>)</w:t>
      </w:r>
      <w:r>
        <w:rPr>
          <w:rFonts w:ascii="標楷體" w:eastAsia="標楷體" w:hAnsi="標楷體" w:cs="標楷體"/>
        </w:rPr>
        <w:t>之指定人員協同合作；自議價得標日起，至保固服務結束日止，與本公司相關人員配合，提供技術服務顧問與保固維修工作事宜。任何必須整合本公司與得標廠商資源之維運工作均由得標廠商負責協調。</w:t>
      </w:r>
    </w:p>
    <w:p w14:paraId="36246E01" w14:textId="77777777" w:rsidR="007B714E" w:rsidRDefault="00185C06">
      <w:pPr>
        <w:spacing w:after="100"/>
        <w:ind w:left="1440" w:hanging="480"/>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三</w:t>
      </w:r>
      <w:r>
        <w:rPr>
          <w:rFonts w:ascii="標楷體" w:eastAsia="標楷體" w:hAnsi="標楷體" w:cs="標楷體"/>
        </w:rPr>
        <w:t>)</w:t>
      </w:r>
      <w:r>
        <w:rPr>
          <w:rFonts w:ascii="標楷體" w:eastAsia="標楷體" w:hAnsi="標楷體" w:cs="標楷體"/>
        </w:rPr>
        <w:t>有關本案採購設備之統籌規劃及施作協調均由本案得標廠商完全負責。若得標廠商提供之設備經實測無法達到預期功能或驗收標準，需自行增補設備至可以順利達成為止，對此得標廠商不得要求增加契約金額。</w:t>
      </w:r>
    </w:p>
    <w:p w14:paraId="2E9CEF3C" w14:textId="77777777" w:rsidR="007B714E" w:rsidRDefault="00185C06">
      <w:pPr>
        <w:spacing w:after="100"/>
        <w:ind w:left="1440" w:hanging="480"/>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四</w:t>
      </w:r>
      <w:r>
        <w:rPr>
          <w:rFonts w:ascii="標楷體" w:eastAsia="標楷體" w:hAnsi="標楷體" w:cs="標楷體"/>
        </w:rPr>
        <w:t>)</w:t>
      </w:r>
      <w:r>
        <w:rPr>
          <w:rFonts w:ascii="標楷體" w:eastAsia="標楷體" w:hAnsi="標楷體" w:cs="標楷體"/>
        </w:rPr>
        <w:t>所有提供之軟硬體設備</w:t>
      </w:r>
      <w:r>
        <w:rPr>
          <w:rFonts w:ascii="標楷體" w:eastAsia="標楷體" w:hAnsi="標楷體" w:cs="標楷體"/>
        </w:rPr>
        <w:t>(</w:t>
      </w:r>
      <w:r>
        <w:rPr>
          <w:rFonts w:ascii="標楷體" w:eastAsia="標楷體" w:hAnsi="標楷體" w:cs="標楷體"/>
        </w:rPr>
        <w:t>含安裝、測試</w:t>
      </w:r>
      <w:r>
        <w:rPr>
          <w:rFonts w:ascii="標楷體" w:eastAsia="標楷體" w:hAnsi="標楷體" w:cs="標楷體"/>
        </w:rPr>
        <w:t>)</w:t>
      </w:r>
      <w:r>
        <w:rPr>
          <w:rFonts w:ascii="標楷體" w:eastAsia="標楷體" w:hAnsi="標楷體" w:cs="標楷體"/>
        </w:rPr>
        <w:t>均應包含在契約價款總額，不得於事後做任何增加契約金額的要求。</w:t>
      </w:r>
    </w:p>
    <w:p w14:paraId="5592A697" w14:textId="77777777" w:rsidR="007B714E" w:rsidRDefault="00185C06">
      <w:pPr>
        <w:spacing w:after="100"/>
        <w:ind w:left="1440" w:hanging="480"/>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五</w:t>
      </w:r>
      <w:r>
        <w:rPr>
          <w:rFonts w:ascii="標楷體" w:eastAsia="標楷體" w:hAnsi="標楷體" w:cs="標楷體"/>
        </w:rPr>
        <w:t>)</w:t>
      </w:r>
      <w:r>
        <w:rPr>
          <w:rFonts w:ascii="標楷體" w:eastAsia="標楷體" w:hAnsi="標楷體" w:cs="標楷體"/>
        </w:rPr>
        <w:t>所有提供之軟硬體設備</w:t>
      </w:r>
      <w:r>
        <w:rPr>
          <w:rFonts w:ascii="標楷體" w:eastAsia="標楷體" w:hAnsi="標楷體" w:cs="標楷體"/>
        </w:rPr>
        <w:t>(</w:t>
      </w:r>
      <w:r>
        <w:rPr>
          <w:rFonts w:ascii="標楷體" w:eastAsia="標楷體" w:hAnsi="標楷體" w:cs="標楷體"/>
        </w:rPr>
        <w:t>含安裝、測試及教育訓練課程</w:t>
      </w:r>
      <w:r>
        <w:rPr>
          <w:rFonts w:ascii="標楷體" w:eastAsia="標楷體" w:hAnsi="標楷體" w:cs="標楷體"/>
        </w:rPr>
        <w:t>)</w:t>
      </w:r>
      <w:r>
        <w:rPr>
          <w:rFonts w:ascii="標楷體" w:eastAsia="標楷體" w:hAnsi="標楷體" w:cs="標楷體"/>
        </w:rPr>
        <w:t>均應包含在契約價款總額，不得於事後做任何增加契約金額的要求。</w:t>
      </w:r>
    </w:p>
    <w:p w14:paraId="760DC7DE" w14:textId="77777777" w:rsidR="007B714E" w:rsidRDefault="00185C06">
      <w:pPr>
        <w:spacing w:after="100"/>
        <w:ind w:left="1440" w:hanging="480"/>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六</w:t>
      </w:r>
      <w:r>
        <w:rPr>
          <w:rFonts w:ascii="標楷體" w:eastAsia="標楷體" w:hAnsi="標楷體" w:cs="標楷體"/>
        </w:rPr>
        <w:t>)</w:t>
      </w:r>
      <w:r>
        <w:rPr>
          <w:rFonts w:ascii="標楷體" w:eastAsia="標楷體" w:hAnsi="標楷體" w:cs="標楷體"/>
        </w:rPr>
        <w:t>本案採購之軟硬體設備每套皆須含全套正本之相關手冊或電子檔ㄧ套，於交貨時交付本公司，上述所衍生之相關費用由得標廠商自行負擔，原廠隨機附贈之相關光碟者仍需免費提供本公司。</w:t>
      </w:r>
    </w:p>
    <w:p w14:paraId="09B987C3" w14:textId="77777777" w:rsidR="007B714E" w:rsidRDefault="00185C06">
      <w:pPr>
        <w:spacing w:after="100"/>
        <w:ind w:left="1440" w:hanging="480"/>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七</w:t>
      </w:r>
      <w:r>
        <w:rPr>
          <w:rFonts w:ascii="標楷體" w:eastAsia="標楷體" w:hAnsi="標楷體" w:cs="標楷體"/>
        </w:rPr>
        <w:t>)</w:t>
      </w:r>
      <w:r>
        <w:rPr>
          <w:rFonts w:ascii="標楷體" w:eastAsia="標楷體" w:hAnsi="標楷體" w:cs="標楷體"/>
        </w:rPr>
        <w:t>本案採購之軟硬體設備不得為中國品牌。</w:t>
      </w:r>
    </w:p>
    <w:p w14:paraId="2D99FDE9" w14:textId="77777777" w:rsidR="007B714E" w:rsidRDefault="00185C06">
      <w:pPr>
        <w:spacing w:after="100"/>
        <w:ind w:left="1440" w:hanging="480"/>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八</w:t>
      </w:r>
      <w:r>
        <w:rPr>
          <w:rFonts w:ascii="標楷體" w:eastAsia="標楷體" w:hAnsi="標楷體" w:cs="標楷體"/>
        </w:rPr>
        <w:t>)</w:t>
      </w:r>
      <w:r>
        <w:rPr>
          <w:rFonts w:ascii="標楷體" w:eastAsia="標楷體" w:hAnsi="標楷體" w:cs="標楷體"/>
        </w:rPr>
        <w:t>得標廠商簽約日後</w:t>
      </w:r>
      <w:r>
        <w:rPr>
          <w:rFonts w:ascii="標楷體" w:eastAsia="標楷體" w:hAnsi="標楷體" w:cs="標楷體"/>
        </w:rPr>
        <w:t>7</w:t>
      </w:r>
      <w:r>
        <w:rPr>
          <w:rFonts w:ascii="標楷體" w:eastAsia="標楷體" w:hAnsi="標楷體" w:cs="標楷體"/>
        </w:rPr>
        <w:t>個工作天內派遣工程人員會同本案相關人員至現場會勘，</w:t>
      </w:r>
      <w:r>
        <w:rPr>
          <w:rFonts w:ascii="標楷體" w:eastAsia="標楷體" w:hAnsi="標楷體" w:cs="標楷體"/>
        </w:rPr>
        <w:t>並於簽約日後一個月內提供全案設備等之完整接線圖、系統方塊圖等。</w:t>
      </w:r>
    </w:p>
    <w:p w14:paraId="07AEA4B9" w14:textId="77777777" w:rsidR="007B714E" w:rsidRDefault="00185C06">
      <w:pPr>
        <w:spacing w:after="100"/>
        <w:ind w:left="1440" w:hanging="480"/>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九</w:t>
      </w:r>
      <w:r>
        <w:rPr>
          <w:rFonts w:ascii="標楷體" w:eastAsia="標楷體" w:hAnsi="標楷體" w:cs="標楷體"/>
        </w:rPr>
        <w:t>)</w:t>
      </w:r>
      <w:r>
        <w:rPr>
          <w:rFonts w:ascii="標楷體" w:eastAsia="標楷體" w:hAnsi="標楷體" w:cs="標楷體"/>
        </w:rPr>
        <w:t>施工期間得標廠商商須派遣合格技術人員全程在現場指導施工，並檢查核對所有線路配線，以確保品質及工作安全。施工期間須確保系統不能有中斷情形。</w:t>
      </w:r>
    </w:p>
    <w:p w14:paraId="51F1EED9" w14:textId="77777777" w:rsidR="007B714E" w:rsidRDefault="00185C06">
      <w:pPr>
        <w:spacing w:after="100"/>
        <w:ind w:left="1440" w:hanging="480"/>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十</w:t>
      </w:r>
      <w:r>
        <w:rPr>
          <w:rFonts w:ascii="標楷體" w:eastAsia="標楷體" w:hAnsi="標楷體" w:cs="標楷體"/>
        </w:rPr>
        <w:t>)</w:t>
      </w:r>
      <w:r>
        <w:rPr>
          <w:rFonts w:ascii="標楷體" w:eastAsia="標楷體" w:hAnsi="標楷體" w:cs="標楷體"/>
        </w:rPr>
        <w:t>得標廠商於專案建置階段所知悉本公司之相關網路架構資訊</w:t>
      </w:r>
      <w:r>
        <w:rPr>
          <w:rFonts w:ascii="標楷體" w:eastAsia="標楷體" w:hAnsi="標楷體" w:cs="標楷體"/>
        </w:rPr>
        <w:t>(</w:t>
      </w:r>
      <w:r>
        <w:rPr>
          <w:rFonts w:ascii="標楷體" w:eastAsia="標楷體" w:hAnsi="標楷體" w:cs="標楷體"/>
        </w:rPr>
        <w:t>包含但不限路由設定、</w:t>
      </w:r>
      <w:r>
        <w:rPr>
          <w:rFonts w:ascii="標楷體" w:eastAsia="標楷體" w:hAnsi="標楷體" w:cs="標楷體"/>
        </w:rPr>
        <w:t>IP</w:t>
      </w:r>
      <w:r>
        <w:rPr>
          <w:rFonts w:ascii="標楷體" w:eastAsia="標楷體" w:hAnsi="標楷體" w:cs="標楷體"/>
        </w:rPr>
        <w:t>資訊、個人資料等</w:t>
      </w:r>
      <w:r>
        <w:rPr>
          <w:rFonts w:ascii="標楷體" w:eastAsia="標楷體" w:hAnsi="標楷體" w:cs="標楷體"/>
        </w:rPr>
        <w:t>)</w:t>
      </w:r>
      <w:r>
        <w:rPr>
          <w:rFonts w:ascii="標楷體" w:eastAsia="標楷體" w:hAnsi="標楷體" w:cs="標楷體"/>
        </w:rPr>
        <w:t>，皆須負保密責任，不得轉知與專案無關之人員，並需於雙方之合約中載明保密規定。</w:t>
      </w:r>
    </w:p>
    <w:p w14:paraId="4964EA06" w14:textId="77777777" w:rsidR="007B714E" w:rsidRDefault="00185C06">
      <w:pPr>
        <w:spacing w:after="100"/>
        <w:ind w:left="1440" w:hanging="480"/>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十一</w:t>
      </w:r>
      <w:r>
        <w:rPr>
          <w:rFonts w:ascii="標楷體" w:eastAsia="標楷體" w:hAnsi="標楷體" w:cs="標楷體"/>
        </w:rPr>
        <w:t>)</w:t>
      </w:r>
      <w:r>
        <w:rPr>
          <w:rFonts w:ascii="標楷體" w:eastAsia="標楷體" w:hAnsi="標楷體" w:cs="標楷體"/>
        </w:rPr>
        <w:t>為確保建置期間之資通訊安全，得標廠商須訂有緊急應變程序，避免因事故發生時本公司遭受事故之影響而中斷服務。</w:t>
      </w:r>
    </w:p>
    <w:p w14:paraId="3F72D74C" w14:textId="77777777" w:rsidR="007B714E" w:rsidRDefault="00185C06">
      <w:pPr>
        <w:spacing w:after="100"/>
        <w:ind w:left="1440" w:hanging="480"/>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十二</w:t>
      </w:r>
      <w:r>
        <w:rPr>
          <w:rFonts w:ascii="標楷體" w:eastAsia="標楷體" w:hAnsi="標楷體" w:cs="標楷體"/>
        </w:rPr>
        <w:t>)</w:t>
      </w:r>
      <w:r>
        <w:rPr>
          <w:rFonts w:ascii="標楷體" w:eastAsia="標楷體" w:hAnsi="標楷體" w:cs="標楷體"/>
        </w:rPr>
        <w:t>本案所提供之硬體需為</w:t>
      </w:r>
      <w:r>
        <w:rPr>
          <w:rFonts w:ascii="標楷體" w:eastAsia="標楷體" w:hAnsi="標楷體" w:cs="標楷體"/>
        </w:rPr>
        <w:t>113</w:t>
      </w:r>
      <w:r>
        <w:rPr>
          <w:rFonts w:ascii="標楷體" w:eastAsia="標楷體" w:hAnsi="標楷體" w:cs="標楷體"/>
        </w:rPr>
        <w:t>年後出廠之設備。</w:t>
      </w:r>
    </w:p>
    <w:p w14:paraId="33BA66C3" w14:textId="77777777" w:rsidR="007B714E" w:rsidRDefault="00185C06">
      <w:pPr>
        <w:spacing w:after="100"/>
        <w:ind w:left="1440" w:hanging="480"/>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十三</w:t>
      </w:r>
      <w:r>
        <w:rPr>
          <w:rFonts w:ascii="標楷體" w:eastAsia="標楷體" w:hAnsi="標楷體" w:cs="標楷體"/>
        </w:rPr>
        <w:t>)</w:t>
      </w:r>
      <w:r>
        <w:rPr>
          <w:rFonts w:ascii="標楷體" w:eastAsia="標楷體" w:hAnsi="標楷體" w:cs="標楷體"/>
        </w:rPr>
        <w:t>廠商及複委託之廠商不得為經濟部投資審議委員會公告之陸資。</w:t>
      </w:r>
    </w:p>
    <w:p w14:paraId="11050CC0" w14:textId="77777777" w:rsidR="007B714E" w:rsidRDefault="00185C06">
      <w:pPr>
        <w:spacing w:after="100"/>
        <w:ind w:left="1440" w:hanging="480"/>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十四</w:t>
      </w:r>
      <w:r>
        <w:rPr>
          <w:rFonts w:ascii="標楷體" w:eastAsia="標楷體" w:hAnsi="標楷體" w:cs="標楷體"/>
        </w:rPr>
        <w:t>)</w:t>
      </w:r>
      <w:r>
        <w:rPr>
          <w:rFonts w:ascii="標楷體" w:eastAsia="標楷體" w:hAnsi="標楷體" w:cs="標楷體"/>
        </w:rPr>
        <w:t>得標廠商須於全案驗收合格日之次日起提供每年專案標的物弱</w:t>
      </w:r>
      <w:r>
        <w:rPr>
          <w:rFonts w:ascii="標楷體" w:eastAsia="標楷體" w:hAnsi="標楷體" w:cs="標楷體"/>
        </w:rPr>
        <w:lastRenderedPageBreak/>
        <w:t>點掃描服務及每半年保設備維護檢查，得標廠商需提供弱點掃描服務報告書。</w:t>
      </w:r>
    </w:p>
    <w:p w14:paraId="09C6E749" w14:textId="77777777" w:rsidR="007B714E" w:rsidRDefault="00185C06">
      <w:pPr>
        <w:spacing w:after="100"/>
        <w:ind w:left="960" w:hanging="480"/>
        <w:rPr>
          <w:rFonts w:ascii="標楷體" w:eastAsia="標楷體" w:hAnsi="標楷體" w:cs="標楷體"/>
        </w:rPr>
      </w:pPr>
      <w:r>
        <w:rPr>
          <w:rFonts w:ascii="標楷體" w:eastAsia="標楷體" w:hAnsi="標楷體" w:cs="標楷體"/>
        </w:rPr>
        <w:t>三、計劃書：</w:t>
      </w:r>
    </w:p>
    <w:p w14:paraId="2EA3A493" w14:textId="77777777" w:rsidR="007B714E" w:rsidRDefault="00185C06">
      <w:pPr>
        <w:spacing w:after="100"/>
        <w:ind w:left="480"/>
        <w:rPr>
          <w:rFonts w:ascii="標楷體" w:eastAsia="標楷體" w:hAnsi="標楷體" w:cs="標楷體"/>
        </w:rPr>
      </w:pPr>
      <w:r>
        <w:rPr>
          <w:rFonts w:ascii="標楷體" w:eastAsia="標楷體" w:hAnsi="標楷體" w:cs="標楷體"/>
        </w:rPr>
        <w:t>計劃書內容須包含以下項目</w:t>
      </w:r>
    </w:p>
    <w:p w14:paraId="56ED7910" w14:textId="77777777" w:rsidR="007B714E" w:rsidRDefault="00185C06">
      <w:pPr>
        <w:numPr>
          <w:ilvl w:val="0"/>
          <w:numId w:val="1"/>
        </w:numPr>
        <w:pBdr>
          <w:top w:val="nil"/>
          <w:left w:val="nil"/>
          <w:bottom w:val="nil"/>
          <w:right w:val="nil"/>
          <w:between w:val="nil"/>
        </w:pBdr>
        <w:spacing w:after="100"/>
        <w:rPr>
          <w:rFonts w:ascii="標楷體" w:eastAsia="標楷體" w:hAnsi="標楷體" w:cs="標楷體"/>
          <w:color w:val="000000"/>
          <w:szCs w:val="24"/>
        </w:rPr>
      </w:pPr>
      <w:r>
        <w:rPr>
          <w:rFonts w:ascii="標楷體" w:eastAsia="標楷體" w:hAnsi="標楷體" w:cs="標楷體"/>
          <w:color w:val="000000"/>
          <w:szCs w:val="24"/>
        </w:rPr>
        <w:t>廠商所提供之設備規格明細表，並註記所對應下表「規格需求」之項次編號。</w:t>
      </w:r>
    </w:p>
    <w:p w14:paraId="6F4A3699" w14:textId="77777777" w:rsidR="007B714E" w:rsidRDefault="00185C06">
      <w:pPr>
        <w:numPr>
          <w:ilvl w:val="0"/>
          <w:numId w:val="1"/>
        </w:numPr>
        <w:pBdr>
          <w:top w:val="nil"/>
          <w:left w:val="nil"/>
          <w:bottom w:val="nil"/>
          <w:right w:val="nil"/>
          <w:between w:val="nil"/>
        </w:pBdr>
        <w:spacing w:after="100"/>
        <w:rPr>
          <w:rFonts w:ascii="標楷體" w:eastAsia="標楷體" w:hAnsi="標楷體" w:cs="標楷體"/>
          <w:color w:val="000000"/>
          <w:szCs w:val="24"/>
        </w:rPr>
      </w:pPr>
      <w:r>
        <w:rPr>
          <w:rFonts w:ascii="標楷體" w:eastAsia="標楷體" w:hAnsi="標楷體" w:cs="標楷體"/>
          <w:color w:val="000000"/>
          <w:szCs w:val="24"/>
        </w:rPr>
        <w:t>系統安裝上線步驟</w:t>
      </w:r>
      <w:r>
        <w:rPr>
          <w:rFonts w:ascii="標楷體" w:eastAsia="標楷體" w:hAnsi="標楷體" w:cs="標楷體"/>
          <w:color w:val="000000"/>
          <w:szCs w:val="24"/>
        </w:rPr>
        <w:t>(</w:t>
      </w:r>
      <w:r>
        <w:rPr>
          <w:rFonts w:ascii="標楷體" w:eastAsia="標楷體" w:hAnsi="標楷體" w:cs="標楷體"/>
          <w:color w:val="000000"/>
          <w:szCs w:val="24"/>
        </w:rPr>
        <w:t>包含系統還原策略</w:t>
      </w:r>
      <w:r>
        <w:rPr>
          <w:rFonts w:ascii="標楷體" w:eastAsia="標楷體" w:hAnsi="標楷體" w:cs="標楷體"/>
          <w:color w:val="000000"/>
          <w:szCs w:val="24"/>
        </w:rPr>
        <w:t>)</w:t>
      </w:r>
      <w:r>
        <w:rPr>
          <w:rFonts w:ascii="標楷體" w:eastAsia="標楷體" w:hAnsi="標楷體" w:cs="標楷體"/>
          <w:color w:val="000000"/>
          <w:szCs w:val="24"/>
        </w:rPr>
        <w:t>。</w:t>
      </w:r>
    </w:p>
    <w:p w14:paraId="0D1D78FB" w14:textId="77777777" w:rsidR="007B714E" w:rsidRDefault="00185C06">
      <w:pPr>
        <w:numPr>
          <w:ilvl w:val="0"/>
          <w:numId w:val="1"/>
        </w:numPr>
        <w:pBdr>
          <w:top w:val="nil"/>
          <w:left w:val="nil"/>
          <w:bottom w:val="nil"/>
          <w:right w:val="nil"/>
          <w:between w:val="nil"/>
        </w:pBdr>
        <w:spacing w:after="100"/>
        <w:rPr>
          <w:rFonts w:ascii="標楷體" w:eastAsia="標楷體" w:hAnsi="標楷體" w:cs="標楷體"/>
          <w:color w:val="000000"/>
          <w:szCs w:val="24"/>
        </w:rPr>
      </w:pPr>
      <w:r>
        <w:rPr>
          <w:rFonts w:ascii="標楷體" w:eastAsia="標楷體" w:hAnsi="標楷體" w:cs="標楷體"/>
          <w:color w:val="000000"/>
          <w:szCs w:val="24"/>
        </w:rPr>
        <w:t>本案執行內容所規定之安裝服務</w:t>
      </w:r>
      <w:r>
        <w:rPr>
          <w:rFonts w:ascii="標楷體" w:eastAsia="標楷體" w:hAnsi="標楷體" w:cs="標楷體"/>
          <w:color w:val="000000"/>
          <w:szCs w:val="24"/>
        </w:rPr>
        <w:t>(</w:t>
      </w:r>
      <w:r>
        <w:rPr>
          <w:rFonts w:ascii="標楷體" w:eastAsia="標楷體" w:hAnsi="標楷體" w:cs="標楷體"/>
          <w:color w:val="000000"/>
          <w:szCs w:val="24"/>
        </w:rPr>
        <w:t>如下表「規格需求」備註第七項</w:t>
      </w:r>
      <w:r>
        <w:rPr>
          <w:rFonts w:ascii="標楷體" w:eastAsia="標楷體" w:hAnsi="標楷體" w:cs="標楷體"/>
          <w:color w:val="000000"/>
          <w:szCs w:val="24"/>
        </w:rPr>
        <w:t>)</w:t>
      </w:r>
      <w:r>
        <w:rPr>
          <w:rFonts w:ascii="標楷體" w:eastAsia="標楷體" w:hAnsi="標楷體" w:cs="標楷體"/>
          <w:color w:val="000000"/>
          <w:szCs w:val="24"/>
        </w:rPr>
        <w:t>，廠商所提供之安裝步驟流程說明、安裝完成驗證方式說明</w:t>
      </w:r>
      <w:r>
        <w:rPr>
          <w:rFonts w:ascii="標楷體" w:eastAsia="標楷體" w:hAnsi="標楷體" w:cs="標楷體"/>
          <w:color w:val="000000"/>
          <w:szCs w:val="24"/>
        </w:rPr>
        <w:t>。</w:t>
      </w:r>
    </w:p>
    <w:p w14:paraId="3EB6F027" w14:textId="77777777" w:rsidR="007B714E" w:rsidRDefault="00185C06">
      <w:pPr>
        <w:spacing w:after="100"/>
        <w:ind w:left="960" w:hanging="480"/>
        <w:rPr>
          <w:rFonts w:ascii="標楷體" w:eastAsia="標楷體" w:hAnsi="標楷體" w:cs="標楷體"/>
        </w:rPr>
      </w:pPr>
      <w:r>
        <w:rPr>
          <w:rFonts w:ascii="標楷體" w:eastAsia="標楷體" w:hAnsi="標楷體" w:cs="標楷體"/>
        </w:rPr>
        <w:t>四、規格需求：</w:t>
      </w:r>
      <w:r>
        <w:rPr>
          <w:rFonts w:ascii="標楷體" w:eastAsia="標楷體" w:hAnsi="標楷體" w:cs="標楷體"/>
        </w:rPr>
        <w:t xml:space="preserve">              </w:t>
      </w:r>
    </w:p>
    <w:tbl>
      <w:tblPr>
        <w:tblStyle w:val="af4"/>
        <w:tblW w:w="9420" w:type="dxa"/>
        <w:tblInd w:w="-28" w:type="dxa"/>
        <w:tblLayout w:type="fixed"/>
        <w:tblLook w:val="0400" w:firstRow="0" w:lastRow="0" w:firstColumn="0" w:lastColumn="0" w:noHBand="0" w:noVBand="1"/>
      </w:tblPr>
      <w:tblGrid>
        <w:gridCol w:w="750"/>
        <w:gridCol w:w="1110"/>
        <w:gridCol w:w="6090"/>
        <w:gridCol w:w="720"/>
        <w:gridCol w:w="750"/>
      </w:tblGrid>
      <w:tr w:rsidR="007B714E" w14:paraId="08A40012" w14:textId="77777777">
        <w:trPr>
          <w:trHeight w:val="406"/>
        </w:trPr>
        <w:tc>
          <w:tcPr>
            <w:tcW w:w="750" w:type="dxa"/>
            <w:tcBorders>
              <w:top w:val="single" w:sz="12" w:space="0" w:color="000000"/>
              <w:left w:val="single" w:sz="12" w:space="0" w:color="000000"/>
              <w:bottom w:val="single" w:sz="6" w:space="0" w:color="000000"/>
              <w:right w:val="single" w:sz="12" w:space="0" w:color="000000"/>
            </w:tcBorders>
          </w:tcPr>
          <w:p w14:paraId="0B27E023" w14:textId="77777777" w:rsidR="007B714E" w:rsidRDefault="00185C06">
            <w:pPr>
              <w:ind w:left="134"/>
              <w:jc w:val="both"/>
              <w:rPr>
                <w:rFonts w:ascii="標楷體" w:eastAsia="標楷體" w:hAnsi="標楷體" w:cs="標楷體"/>
              </w:rPr>
            </w:pPr>
            <w:r>
              <w:rPr>
                <w:rFonts w:ascii="標楷體" w:eastAsia="標楷體" w:hAnsi="標楷體" w:cs="標楷體"/>
              </w:rPr>
              <w:t>項次</w:t>
            </w:r>
            <w:r>
              <w:rPr>
                <w:rFonts w:ascii="標楷體" w:eastAsia="標楷體" w:hAnsi="標楷體" w:cs="標楷體"/>
                <w:b/>
              </w:rPr>
              <w:t xml:space="preserve"> </w:t>
            </w:r>
          </w:p>
        </w:tc>
        <w:tc>
          <w:tcPr>
            <w:tcW w:w="1110" w:type="dxa"/>
            <w:tcBorders>
              <w:top w:val="single" w:sz="12" w:space="0" w:color="000000"/>
              <w:left w:val="single" w:sz="12" w:space="0" w:color="000000"/>
              <w:bottom w:val="single" w:sz="6" w:space="0" w:color="000000"/>
              <w:right w:val="single" w:sz="12" w:space="0" w:color="000000"/>
            </w:tcBorders>
          </w:tcPr>
          <w:p w14:paraId="13CE5BA2" w14:textId="77777777" w:rsidR="007B714E" w:rsidRDefault="00185C06">
            <w:pPr>
              <w:ind w:left="61"/>
              <w:jc w:val="center"/>
              <w:rPr>
                <w:rFonts w:ascii="標楷體" w:eastAsia="標楷體" w:hAnsi="標楷體" w:cs="標楷體"/>
              </w:rPr>
            </w:pPr>
            <w:r>
              <w:rPr>
                <w:rFonts w:ascii="標楷體" w:eastAsia="標楷體" w:hAnsi="標楷體" w:cs="標楷體"/>
              </w:rPr>
              <w:t>品</w:t>
            </w:r>
            <w:r>
              <w:rPr>
                <w:rFonts w:ascii="標楷體" w:eastAsia="標楷體" w:hAnsi="標楷體" w:cs="標楷體"/>
              </w:rPr>
              <w:t xml:space="preserve">   </w:t>
            </w:r>
            <w:r>
              <w:rPr>
                <w:rFonts w:ascii="標楷體" w:eastAsia="標楷體" w:hAnsi="標楷體" w:cs="標楷體"/>
              </w:rPr>
              <w:t>名</w:t>
            </w:r>
            <w:r>
              <w:rPr>
                <w:rFonts w:ascii="標楷體" w:eastAsia="標楷體" w:hAnsi="標楷體" w:cs="標楷體"/>
                <w:b/>
              </w:rPr>
              <w:t xml:space="preserve"> </w:t>
            </w:r>
          </w:p>
        </w:tc>
        <w:tc>
          <w:tcPr>
            <w:tcW w:w="6090" w:type="dxa"/>
            <w:tcBorders>
              <w:top w:val="single" w:sz="12" w:space="0" w:color="000000"/>
              <w:left w:val="single" w:sz="12" w:space="0" w:color="000000"/>
              <w:bottom w:val="single" w:sz="6" w:space="0" w:color="000000"/>
              <w:right w:val="single" w:sz="12" w:space="0" w:color="000000"/>
            </w:tcBorders>
          </w:tcPr>
          <w:p w14:paraId="6E9E232D" w14:textId="77777777" w:rsidR="007B714E" w:rsidRDefault="00185C06">
            <w:pPr>
              <w:ind w:left="61"/>
              <w:jc w:val="center"/>
              <w:rPr>
                <w:rFonts w:ascii="標楷體" w:eastAsia="標楷體" w:hAnsi="標楷體" w:cs="標楷體"/>
              </w:rPr>
            </w:pPr>
            <w:r>
              <w:rPr>
                <w:rFonts w:ascii="標楷體" w:eastAsia="標楷體" w:hAnsi="標楷體" w:cs="標楷體"/>
              </w:rPr>
              <w:t>規</w:t>
            </w:r>
            <w:r>
              <w:rPr>
                <w:rFonts w:ascii="標楷體" w:eastAsia="標楷體" w:hAnsi="標楷體" w:cs="標楷體"/>
                <w:b/>
              </w:rPr>
              <w:t xml:space="preserve">       </w:t>
            </w:r>
            <w:r>
              <w:rPr>
                <w:rFonts w:ascii="標楷體" w:eastAsia="標楷體" w:hAnsi="標楷體" w:cs="標楷體"/>
              </w:rPr>
              <w:t>格</w:t>
            </w:r>
            <w:r>
              <w:rPr>
                <w:rFonts w:ascii="標楷體" w:eastAsia="標楷體" w:hAnsi="標楷體" w:cs="標楷體"/>
                <w:b/>
              </w:rPr>
              <w:t xml:space="preserve"> </w:t>
            </w:r>
          </w:p>
        </w:tc>
        <w:tc>
          <w:tcPr>
            <w:tcW w:w="720" w:type="dxa"/>
            <w:tcBorders>
              <w:top w:val="single" w:sz="12" w:space="0" w:color="000000"/>
              <w:left w:val="single" w:sz="12" w:space="0" w:color="000000"/>
              <w:bottom w:val="single" w:sz="6" w:space="0" w:color="000000"/>
              <w:right w:val="single" w:sz="12" w:space="0" w:color="000000"/>
            </w:tcBorders>
          </w:tcPr>
          <w:p w14:paraId="43B86092" w14:textId="77777777" w:rsidR="007B714E" w:rsidRDefault="00185C06">
            <w:pPr>
              <w:ind w:left="119"/>
              <w:jc w:val="both"/>
              <w:rPr>
                <w:rFonts w:ascii="標楷體" w:eastAsia="標楷體" w:hAnsi="標楷體" w:cs="標楷體"/>
              </w:rPr>
            </w:pPr>
            <w:r>
              <w:rPr>
                <w:rFonts w:ascii="標楷體" w:eastAsia="標楷體" w:hAnsi="標楷體" w:cs="標楷體"/>
              </w:rPr>
              <w:t>單位</w:t>
            </w:r>
            <w:r>
              <w:rPr>
                <w:rFonts w:ascii="標楷體" w:eastAsia="標楷體" w:hAnsi="標楷體" w:cs="標楷體"/>
                <w:b/>
              </w:rPr>
              <w:t xml:space="preserve"> </w:t>
            </w:r>
          </w:p>
        </w:tc>
        <w:tc>
          <w:tcPr>
            <w:tcW w:w="750" w:type="dxa"/>
            <w:tcBorders>
              <w:top w:val="single" w:sz="12" w:space="0" w:color="000000"/>
              <w:left w:val="single" w:sz="12" w:space="0" w:color="000000"/>
              <w:bottom w:val="single" w:sz="6" w:space="0" w:color="000000"/>
              <w:right w:val="single" w:sz="12" w:space="0" w:color="000000"/>
            </w:tcBorders>
          </w:tcPr>
          <w:p w14:paraId="135D982F" w14:textId="77777777" w:rsidR="007B714E" w:rsidRDefault="00185C06">
            <w:pPr>
              <w:ind w:left="134"/>
              <w:jc w:val="both"/>
              <w:rPr>
                <w:rFonts w:ascii="標楷體" w:eastAsia="標楷體" w:hAnsi="標楷體" w:cs="標楷體"/>
              </w:rPr>
            </w:pPr>
            <w:r>
              <w:rPr>
                <w:rFonts w:ascii="標楷體" w:eastAsia="標楷體" w:hAnsi="標楷體" w:cs="標楷體"/>
              </w:rPr>
              <w:t>數量</w:t>
            </w:r>
          </w:p>
        </w:tc>
      </w:tr>
      <w:tr w:rsidR="007B714E" w14:paraId="35BF42FA" w14:textId="77777777">
        <w:trPr>
          <w:trHeight w:val="3625"/>
        </w:trPr>
        <w:tc>
          <w:tcPr>
            <w:tcW w:w="750" w:type="dxa"/>
            <w:tcBorders>
              <w:top w:val="single" w:sz="6" w:space="0" w:color="000000"/>
              <w:left w:val="single" w:sz="12" w:space="0" w:color="000000"/>
              <w:right w:val="single" w:sz="12" w:space="0" w:color="000000"/>
            </w:tcBorders>
          </w:tcPr>
          <w:p w14:paraId="16A36079" w14:textId="77777777" w:rsidR="007B714E" w:rsidRDefault="00185C06">
            <w:pPr>
              <w:spacing w:after="60"/>
              <w:ind w:left="61"/>
              <w:jc w:val="center"/>
              <w:rPr>
                <w:rFonts w:ascii="標楷體" w:eastAsia="標楷體" w:hAnsi="標楷體" w:cs="標楷體"/>
              </w:rPr>
            </w:pPr>
            <w:r>
              <w:rPr>
                <w:rFonts w:ascii="標楷體" w:eastAsia="標楷體" w:hAnsi="標楷體" w:cs="標楷體"/>
              </w:rPr>
              <w:t xml:space="preserve">1 </w:t>
            </w:r>
          </w:p>
        </w:tc>
        <w:tc>
          <w:tcPr>
            <w:tcW w:w="1110" w:type="dxa"/>
            <w:tcBorders>
              <w:top w:val="single" w:sz="6" w:space="0" w:color="000000"/>
              <w:left w:val="single" w:sz="12" w:space="0" w:color="000000"/>
              <w:bottom w:val="single" w:sz="4" w:space="0" w:color="000000"/>
              <w:right w:val="single" w:sz="12" w:space="0" w:color="000000"/>
            </w:tcBorders>
          </w:tcPr>
          <w:p w14:paraId="14B8C2B3" w14:textId="77777777" w:rsidR="007B714E" w:rsidRDefault="00185C06">
            <w:pPr>
              <w:spacing w:after="41"/>
              <w:ind w:left="59"/>
              <w:jc w:val="center"/>
              <w:rPr>
                <w:rFonts w:ascii="標楷體" w:eastAsia="標楷體" w:hAnsi="標楷體" w:cs="標楷體"/>
              </w:rPr>
            </w:pPr>
            <w:r>
              <w:rPr>
                <w:rFonts w:ascii="標楷體" w:eastAsia="標楷體" w:hAnsi="標楷體" w:cs="標楷體"/>
              </w:rPr>
              <w:t>網路負載平衡設備</w:t>
            </w:r>
            <w:r>
              <w:rPr>
                <w:rFonts w:ascii="標楷體" w:eastAsia="標楷體" w:hAnsi="標楷體" w:cs="標楷體"/>
              </w:rPr>
              <w:t xml:space="preserve">  </w:t>
            </w:r>
          </w:p>
        </w:tc>
        <w:tc>
          <w:tcPr>
            <w:tcW w:w="6090" w:type="dxa"/>
            <w:tcBorders>
              <w:top w:val="single" w:sz="6" w:space="0" w:color="000000"/>
              <w:left w:val="single" w:sz="12" w:space="0" w:color="000000"/>
              <w:bottom w:val="single" w:sz="4" w:space="0" w:color="000000"/>
              <w:right w:val="single" w:sz="12" w:space="0" w:color="000000"/>
            </w:tcBorders>
          </w:tcPr>
          <w:p w14:paraId="0F11FE1C" w14:textId="77777777" w:rsidR="007B714E" w:rsidRDefault="00185C06">
            <w:pPr>
              <w:widowControl/>
              <w:numPr>
                <w:ilvl w:val="0"/>
                <w:numId w:val="3"/>
              </w:numPr>
              <w:spacing w:after="45" w:line="259" w:lineRule="auto"/>
              <w:rPr>
                <w:rFonts w:ascii="標楷體" w:eastAsia="標楷體" w:hAnsi="標楷體" w:cs="標楷體"/>
              </w:rPr>
            </w:pPr>
            <w:r>
              <w:rPr>
                <w:rFonts w:ascii="標楷體" w:eastAsia="標楷體" w:hAnsi="標楷體" w:cs="標楷體"/>
              </w:rPr>
              <w:t>傳輸介面和模組功能</w:t>
            </w:r>
            <w:r>
              <w:rPr>
                <w:rFonts w:ascii="標楷體" w:eastAsia="標楷體" w:hAnsi="標楷體" w:cs="標楷體"/>
              </w:rPr>
              <w:t>:</w:t>
            </w:r>
            <w:r>
              <w:rPr>
                <w:rFonts w:ascii="標楷體" w:eastAsia="標楷體" w:hAnsi="標楷體" w:cs="標楷體"/>
              </w:rPr>
              <w:t>具備獨立主機採硬體式設備</w:t>
            </w:r>
            <w:r>
              <w:rPr>
                <w:rFonts w:ascii="標楷體" w:eastAsia="標楷體" w:hAnsi="標楷體" w:cs="標楷體"/>
              </w:rPr>
              <w:t>(Hardware Appliance)</w:t>
            </w:r>
            <w:r>
              <w:rPr>
                <w:rFonts w:ascii="標楷體" w:eastAsia="標楷體" w:hAnsi="標楷體" w:cs="標楷體"/>
              </w:rPr>
              <w:t>架構，並使用嵌入式或專屬作業系統，提供</w:t>
            </w:r>
            <w:r>
              <w:rPr>
                <w:rFonts w:ascii="標楷體" w:eastAsia="標楷體" w:hAnsi="標楷體" w:cs="標楷體"/>
              </w:rPr>
              <w:t xml:space="preserve"> 7 </w:t>
            </w:r>
            <w:r>
              <w:rPr>
                <w:rFonts w:ascii="標楷體" w:eastAsia="標楷體" w:hAnsi="標楷體" w:cs="標楷體"/>
              </w:rPr>
              <w:t>埠</w:t>
            </w:r>
            <w:r>
              <w:rPr>
                <w:rFonts w:ascii="標楷體" w:eastAsia="標楷體" w:hAnsi="標楷體" w:cs="標楷體"/>
              </w:rPr>
              <w:t>(</w:t>
            </w:r>
            <w:r>
              <w:rPr>
                <w:rFonts w:ascii="標楷體" w:eastAsia="標楷體" w:hAnsi="標楷體" w:cs="標楷體"/>
              </w:rPr>
              <w:t>含</w:t>
            </w:r>
            <w:r>
              <w:rPr>
                <w:rFonts w:ascii="標楷體" w:eastAsia="標楷體" w:hAnsi="標楷體" w:cs="標楷體"/>
              </w:rPr>
              <w:t>)</w:t>
            </w:r>
            <w:r>
              <w:rPr>
                <w:rFonts w:ascii="標楷體" w:eastAsia="標楷體" w:hAnsi="標楷體" w:cs="標楷體"/>
              </w:rPr>
              <w:t>以上</w:t>
            </w:r>
            <w:r>
              <w:rPr>
                <w:rFonts w:ascii="標楷體" w:eastAsia="標楷體" w:hAnsi="標楷體" w:cs="標楷體"/>
              </w:rPr>
              <w:t xml:space="preserve"> 1 GE Copper</w:t>
            </w:r>
            <w:r>
              <w:rPr>
                <w:rFonts w:ascii="標楷體" w:eastAsia="標楷體" w:hAnsi="標楷體" w:cs="標楷體"/>
              </w:rPr>
              <w:t>、</w:t>
            </w:r>
            <w:r>
              <w:rPr>
                <w:rFonts w:ascii="標楷體" w:eastAsia="標楷體" w:hAnsi="標楷體" w:cs="標楷體"/>
              </w:rPr>
              <w:t>4</w:t>
            </w:r>
            <w:r>
              <w:rPr>
                <w:rFonts w:ascii="標楷體" w:eastAsia="標楷體" w:hAnsi="標楷體" w:cs="標楷體"/>
              </w:rPr>
              <w:t>埠</w:t>
            </w:r>
            <w:r>
              <w:rPr>
                <w:rFonts w:ascii="標楷體" w:eastAsia="標楷體" w:hAnsi="標楷體" w:cs="標楷體"/>
              </w:rPr>
              <w:t>(</w:t>
            </w:r>
            <w:r>
              <w:rPr>
                <w:rFonts w:ascii="標楷體" w:eastAsia="標楷體" w:hAnsi="標楷體" w:cs="標楷體"/>
              </w:rPr>
              <w:t>含</w:t>
            </w:r>
            <w:r>
              <w:rPr>
                <w:rFonts w:ascii="標楷體" w:eastAsia="標楷體" w:hAnsi="標楷體" w:cs="標楷體"/>
              </w:rPr>
              <w:t>)</w:t>
            </w:r>
            <w:r>
              <w:rPr>
                <w:rFonts w:ascii="標楷體" w:eastAsia="標楷體" w:hAnsi="標楷體" w:cs="標楷體"/>
              </w:rPr>
              <w:t>以上</w:t>
            </w:r>
            <w:r>
              <w:rPr>
                <w:rFonts w:ascii="標楷體" w:eastAsia="標楷體" w:hAnsi="標楷體" w:cs="標楷體"/>
              </w:rPr>
              <w:t xml:space="preserve"> 10/1GE Fiber </w:t>
            </w:r>
            <w:r>
              <w:rPr>
                <w:rFonts w:ascii="標楷體" w:eastAsia="標楷體" w:hAnsi="標楷體" w:cs="標楷體"/>
              </w:rPr>
              <w:t>光纖介面</w:t>
            </w:r>
            <w:r>
              <w:rPr>
                <w:rFonts w:ascii="標楷體" w:eastAsia="標楷體" w:hAnsi="標楷體" w:cs="標楷體"/>
              </w:rPr>
              <w:t xml:space="preserve"> (SFP+/SFP)</w:t>
            </w:r>
            <w:r>
              <w:rPr>
                <w:rFonts w:ascii="標楷體" w:eastAsia="標楷體" w:hAnsi="標楷體" w:cs="標楷體"/>
              </w:rPr>
              <w:t>、</w:t>
            </w:r>
            <w:r>
              <w:rPr>
                <w:rFonts w:ascii="標楷體" w:eastAsia="標楷體" w:hAnsi="標楷體" w:cs="標楷體"/>
              </w:rPr>
              <w:t xml:space="preserve">2 </w:t>
            </w:r>
            <w:r>
              <w:rPr>
                <w:rFonts w:ascii="標楷體" w:eastAsia="標楷體" w:hAnsi="標楷體" w:cs="標楷體"/>
              </w:rPr>
              <w:t>埠</w:t>
            </w:r>
            <w:r>
              <w:rPr>
                <w:rFonts w:ascii="標楷體" w:eastAsia="標楷體" w:hAnsi="標楷體" w:cs="標楷體"/>
              </w:rPr>
              <w:t>(</w:t>
            </w:r>
            <w:r>
              <w:rPr>
                <w:rFonts w:ascii="標楷體" w:eastAsia="標楷體" w:hAnsi="標楷體" w:cs="標楷體"/>
              </w:rPr>
              <w:t>含</w:t>
            </w:r>
            <w:r>
              <w:rPr>
                <w:rFonts w:ascii="標楷體" w:eastAsia="標楷體" w:hAnsi="標楷體" w:cs="標楷體"/>
              </w:rPr>
              <w:t>)</w:t>
            </w:r>
            <w:r>
              <w:rPr>
                <w:rFonts w:ascii="標楷體" w:eastAsia="標楷體" w:hAnsi="標楷體" w:cs="標楷體"/>
              </w:rPr>
              <w:t>以上</w:t>
            </w:r>
            <w:r>
              <w:rPr>
                <w:rFonts w:ascii="標楷體" w:eastAsia="標楷體" w:hAnsi="標楷體" w:cs="標楷體"/>
              </w:rPr>
              <w:t>25/10GE Fiber (SFP28/SFP+)</w:t>
            </w:r>
            <w:r>
              <w:rPr>
                <w:rFonts w:ascii="標楷體" w:eastAsia="標楷體" w:hAnsi="標楷體" w:cs="標楷體"/>
              </w:rPr>
              <w:t>。</w:t>
            </w:r>
          </w:p>
          <w:p w14:paraId="404E2AAD"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具備下列資料處理能力</w:t>
            </w:r>
            <w:r>
              <w:rPr>
                <w:rFonts w:ascii="標楷體" w:eastAsia="標楷體" w:hAnsi="標楷體" w:cs="標楷體"/>
              </w:rPr>
              <w:t xml:space="preserve">:Layer 4 </w:t>
            </w:r>
            <w:r>
              <w:rPr>
                <w:rFonts w:ascii="標楷體" w:eastAsia="標楷體" w:hAnsi="標楷體" w:cs="標楷體"/>
              </w:rPr>
              <w:t>流量</w:t>
            </w:r>
            <w:r>
              <w:rPr>
                <w:rFonts w:ascii="標楷體" w:eastAsia="標楷體" w:hAnsi="標楷體" w:cs="標楷體"/>
              </w:rPr>
              <w:t>(Throughput)</w:t>
            </w:r>
            <w:r>
              <w:rPr>
                <w:rFonts w:ascii="標楷體" w:eastAsia="標楷體" w:hAnsi="標楷體" w:cs="標楷體"/>
              </w:rPr>
              <w:t>處理能力可達</w:t>
            </w:r>
            <w:r>
              <w:rPr>
                <w:rFonts w:ascii="標楷體" w:eastAsia="標楷體" w:hAnsi="標楷體" w:cs="標楷體"/>
              </w:rPr>
              <w:t xml:space="preserve"> 20 Gbps (</w:t>
            </w:r>
            <w:r>
              <w:rPr>
                <w:rFonts w:ascii="標楷體" w:eastAsia="標楷體" w:hAnsi="標楷體" w:cs="標楷體"/>
              </w:rPr>
              <w:t>含</w:t>
            </w:r>
            <w:r>
              <w:rPr>
                <w:rFonts w:ascii="標楷體" w:eastAsia="標楷體" w:hAnsi="標楷體" w:cs="標楷體"/>
              </w:rPr>
              <w:t>)</w:t>
            </w:r>
            <w:r>
              <w:rPr>
                <w:rFonts w:ascii="標楷體" w:eastAsia="標楷體" w:hAnsi="標楷體" w:cs="標楷體"/>
              </w:rPr>
              <w:t>以上、同時連線數</w:t>
            </w:r>
            <w:r>
              <w:rPr>
                <w:rFonts w:ascii="標楷體" w:eastAsia="標楷體" w:hAnsi="標楷體" w:cs="標楷體"/>
              </w:rPr>
              <w:t>(Concurrent Sessions)</w:t>
            </w:r>
            <w:r>
              <w:rPr>
                <w:rFonts w:ascii="標楷體" w:eastAsia="標楷體" w:hAnsi="標楷體" w:cs="標楷體"/>
              </w:rPr>
              <w:t>可達</w:t>
            </w:r>
            <w:r>
              <w:rPr>
                <w:rFonts w:ascii="標楷體" w:eastAsia="標楷體" w:hAnsi="標楷體" w:cs="標楷體"/>
              </w:rPr>
              <w:t xml:space="preserve"> 32 million(</w:t>
            </w:r>
            <w:r>
              <w:rPr>
                <w:rFonts w:ascii="標楷體" w:eastAsia="標楷體" w:hAnsi="標楷體" w:cs="標楷體"/>
              </w:rPr>
              <w:t>含</w:t>
            </w:r>
            <w:r>
              <w:rPr>
                <w:rFonts w:ascii="標楷體" w:eastAsia="標楷體" w:hAnsi="標楷體" w:cs="標楷體"/>
              </w:rPr>
              <w:t>)</w:t>
            </w:r>
            <w:r>
              <w:rPr>
                <w:rFonts w:ascii="標楷體" w:eastAsia="標楷體" w:hAnsi="標楷體" w:cs="標楷體"/>
              </w:rPr>
              <w:t>以上、</w:t>
            </w:r>
            <w:r>
              <w:rPr>
                <w:rFonts w:ascii="標楷體" w:eastAsia="標楷體" w:hAnsi="標楷體" w:cs="標楷體"/>
              </w:rPr>
              <w:t xml:space="preserve">Layer 4 </w:t>
            </w:r>
            <w:r>
              <w:rPr>
                <w:rFonts w:ascii="標楷體" w:eastAsia="標楷體" w:hAnsi="標楷體" w:cs="標楷體"/>
              </w:rPr>
              <w:t>每秒連線處理能力</w:t>
            </w:r>
            <w:r>
              <w:rPr>
                <w:rFonts w:ascii="標楷體" w:eastAsia="標楷體" w:hAnsi="標楷體" w:cs="標楷體"/>
              </w:rPr>
              <w:t xml:space="preserve"> CPS( Connections Per Second)</w:t>
            </w:r>
            <w:r>
              <w:rPr>
                <w:rFonts w:ascii="標楷體" w:eastAsia="標楷體" w:hAnsi="標楷體" w:cs="標楷體"/>
              </w:rPr>
              <w:t>可達</w:t>
            </w:r>
            <w:r>
              <w:rPr>
                <w:rFonts w:ascii="標楷體" w:eastAsia="標楷體" w:hAnsi="標楷體" w:cs="標楷體"/>
              </w:rPr>
              <w:t xml:space="preserve"> 500K (</w:t>
            </w:r>
            <w:r>
              <w:rPr>
                <w:rFonts w:ascii="標楷體" w:eastAsia="標楷體" w:hAnsi="標楷體" w:cs="標楷體"/>
              </w:rPr>
              <w:t>含</w:t>
            </w:r>
            <w:r>
              <w:rPr>
                <w:rFonts w:ascii="標楷體" w:eastAsia="標楷體" w:hAnsi="標楷體" w:cs="標楷體"/>
              </w:rPr>
              <w:t>)</w:t>
            </w:r>
            <w:r>
              <w:rPr>
                <w:rFonts w:ascii="標楷體" w:eastAsia="標楷體" w:hAnsi="標楷體" w:cs="標楷體"/>
              </w:rPr>
              <w:t>以上、</w:t>
            </w:r>
            <w:r>
              <w:rPr>
                <w:rFonts w:ascii="標楷體" w:eastAsia="標楷體" w:hAnsi="標楷體" w:cs="標楷體"/>
              </w:rPr>
              <w:t xml:space="preserve">SSL ECDSA </w:t>
            </w:r>
            <w:r>
              <w:rPr>
                <w:rFonts w:ascii="標楷體" w:eastAsia="標楷體" w:hAnsi="標楷體" w:cs="標楷體"/>
              </w:rPr>
              <w:t>每秒需求處理能力</w:t>
            </w:r>
            <w:r>
              <w:rPr>
                <w:rFonts w:ascii="標楷體" w:eastAsia="標楷體" w:hAnsi="標楷體" w:cs="標楷體"/>
              </w:rPr>
              <w:t xml:space="preserve"> CPS( Connections Per Second)</w:t>
            </w:r>
            <w:r>
              <w:rPr>
                <w:rFonts w:ascii="標楷體" w:eastAsia="標楷體" w:hAnsi="標楷體" w:cs="標楷體"/>
              </w:rPr>
              <w:t>可達</w:t>
            </w:r>
            <w:r>
              <w:rPr>
                <w:rFonts w:ascii="標楷體" w:eastAsia="標楷體" w:hAnsi="標楷體" w:cs="標楷體"/>
              </w:rPr>
              <w:t xml:space="preserve"> 5 K(</w:t>
            </w:r>
            <w:r>
              <w:rPr>
                <w:rFonts w:ascii="標楷體" w:eastAsia="標楷體" w:hAnsi="標楷體" w:cs="標楷體"/>
              </w:rPr>
              <w:t>含</w:t>
            </w:r>
            <w:r>
              <w:rPr>
                <w:rFonts w:ascii="標楷體" w:eastAsia="標楷體" w:hAnsi="標楷體" w:cs="標楷體"/>
              </w:rPr>
              <w:t>)</w:t>
            </w:r>
            <w:r>
              <w:rPr>
                <w:rFonts w:ascii="標楷體" w:eastAsia="標楷體" w:hAnsi="標楷體" w:cs="標楷體"/>
              </w:rPr>
              <w:t>以上、</w:t>
            </w:r>
            <w:r>
              <w:rPr>
                <w:rFonts w:ascii="標楷體" w:eastAsia="標楷體" w:hAnsi="標楷體" w:cs="標楷體"/>
              </w:rPr>
              <w:t xml:space="preserve">SSL </w:t>
            </w:r>
            <w:r>
              <w:rPr>
                <w:rFonts w:ascii="標楷體" w:eastAsia="標楷體" w:hAnsi="標楷體" w:cs="標楷體"/>
              </w:rPr>
              <w:t>流量</w:t>
            </w:r>
            <w:r>
              <w:rPr>
                <w:rFonts w:ascii="標楷體" w:eastAsia="標楷體" w:hAnsi="標楷體" w:cs="標楷體"/>
              </w:rPr>
              <w:t>(Throughput)</w:t>
            </w:r>
            <w:r>
              <w:rPr>
                <w:rFonts w:ascii="標楷體" w:eastAsia="標楷體" w:hAnsi="標楷體" w:cs="標楷體"/>
              </w:rPr>
              <w:t>處理能力可達</w:t>
            </w:r>
            <w:r>
              <w:rPr>
                <w:rFonts w:ascii="標楷體" w:eastAsia="標楷體" w:hAnsi="標楷體" w:cs="標楷體"/>
              </w:rPr>
              <w:t xml:space="preserve"> 9 Gbps (</w:t>
            </w:r>
            <w:r>
              <w:rPr>
                <w:rFonts w:ascii="標楷體" w:eastAsia="標楷體" w:hAnsi="標楷體" w:cs="標楷體"/>
              </w:rPr>
              <w:t>含</w:t>
            </w:r>
            <w:r>
              <w:rPr>
                <w:rFonts w:ascii="標楷體" w:eastAsia="標楷體" w:hAnsi="標楷體" w:cs="標楷體"/>
              </w:rPr>
              <w:t>)</w:t>
            </w:r>
            <w:r>
              <w:rPr>
                <w:rFonts w:ascii="標楷體" w:eastAsia="標楷體" w:hAnsi="標楷體" w:cs="標楷體"/>
              </w:rPr>
              <w:t>以上</w:t>
            </w:r>
            <w:r>
              <w:rPr>
                <w:rFonts w:ascii="標楷體" w:eastAsia="標楷體" w:hAnsi="標楷體" w:cs="標楷體"/>
                <w:color w:val="000000"/>
              </w:rPr>
              <w:t>。</w:t>
            </w:r>
            <w:r>
              <w:rPr>
                <w:rFonts w:ascii="標楷體" w:eastAsia="標楷體" w:hAnsi="標楷體" w:cs="標楷體"/>
                <w:color w:val="000000"/>
              </w:rPr>
              <w:t xml:space="preserve"> </w:t>
            </w:r>
          </w:p>
          <w:p w14:paraId="11C7F2A9" w14:textId="77777777" w:rsidR="007B714E" w:rsidRDefault="00185C06">
            <w:pPr>
              <w:widowControl/>
              <w:numPr>
                <w:ilvl w:val="0"/>
                <w:numId w:val="3"/>
              </w:numPr>
              <w:spacing w:after="45" w:line="259" w:lineRule="auto"/>
              <w:rPr>
                <w:rFonts w:ascii="標楷體" w:eastAsia="標楷體" w:hAnsi="標楷體" w:cs="標楷體"/>
              </w:rPr>
            </w:pPr>
            <w:r>
              <w:rPr>
                <w:rFonts w:ascii="標楷體" w:eastAsia="標楷體" w:hAnsi="標楷體" w:cs="標楷體"/>
              </w:rPr>
              <w:t>具備下列伺服器負載平衡</w:t>
            </w:r>
            <w:r>
              <w:rPr>
                <w:rFonts w:ascii="標楷體" w:eastAsia="標楷體" w:hAnsi="標楷體" w:cs="標楷體"/>
              </w:rPr>
              <w:t>(Server Load Balancing)</w:t>
            </w:r>
            <w:r>
              <w:rPr>
                <w:rFonts w:ascii="標楷體" w:eastAsia="標楷體" w:hAnsi="標楷體" w:cs="標楷體"/>
              </w:rPr>
              <w:t>功能</w:t>
            </w:r>
            <w:r>
              <w:rPr>
                <w:rFonts w:ascii="標楷體" w:eastAsia="標楷體" w:hAnsi="標楷體" w:cs="標楷體"/>
              </w:rPr>
              <w:t xml:space="preserve">: Round Robin </w:t>
            </w:r>
            <w:r>
              <w:rPr>
                <w:rFonts w:ascii="標楷體" w:eastAsia="標楷體" w:hAnsi="標楷體" w:cs="標楷體"/>
              </w:rPr>
              <w:t>模式、</w:t>
            </w:r>
            <w:r>
              <w:rPr>
                <w:rFonts w:ascii="標楷體" w:eastAsia="標楷體" w:hAnsi="標楷體" w:cs="標楷體"/>
              </w:rPr>
              <w:t xml:space="preserve">Least Connection </w:t>
            </w:r>
            <w:r>
              <w:rPr>
                <w:rFonts w:ascii="標楷體" w:eastAsia="標楷體" w:hAnsi="標楷體" w:cs="標楷體"/>
              </w:rPr>
              <w:t>模式、</w:t>
            </w:r>
            <w:r>
              <w:rPr>
                <w:rFonts w:ascii="標楷體" w:eastAsia="標楷體" w:hAnsi="標楷體" w:cs="標楷體"/>
              </w:rPr>
              <w:t xml:space="preserve">Response Time </w:t>
            </w:r>
            <w:r>
              <w:rPr>
                <w:rFonts w:ascii="標楷體" w:eastAsia="標楷體" w:hAnsi="標楷體" w:cs="標楷體"/>
              </w:rPr>
              <w:t>模式、</w:t>
            </w:r>
            <w:r>
              <w:rPr>
                <w:rFonts w:ascii="標楷體" w:eastAsia="標楷體" w:hAnsi="標楷體" w:cs="標楷體"/>
              </w:rPr>
              <w:t xml:space="preserve">Weighted </w:t>
            </w:r>
            <w:r>
              <w:rPr>
                <w:rFonts w:ascii="標楷體" w:eastAsia="標楷體" w:hAnsi="標楷體" w:cs="標楷體"/>
              </w:rPr>
              <w:t>模式。</w:t>
            </w:r>
          </w:p>
          <w:p w14:paraId="3EB4FFA2" w14:textId="77777777" w:rsidR="007B714E" w:rsidRDefault="00185C06">
            <w:pPr>
              <w:widowControl/>
              <w:numPr>
                <w:ilvl w:val="0"/>
                <w:numId w:val="3"/>
              </w:numPr>
              <w:spacing w:after="45" w:line="259" w:lineRule="auto"/>
              <w:rPr>
                <w:rFonts w:ascii="標楷體" w:eastAsia="標楷體" w:hAnsi="標楷體" w:cs="標楷體"/>
              </w:rPr>
            </w:pPr>
            <w:r>
              <w:rPr>
                <w:rFonts w:ascii="標楷體" w:eastAsia="標楷體" w:hAnsi="標楷體" w:cs="標楷體"/>
              </w:rPr>
              <w:t>具備下列負載平衡之連線堅持</w:t>
            </w:r>
            <w:r>
              <w:rPr>
                <w:rFonts w:ascii="標楷體" w:eastAsia="標楷體" w:hAnsi="標楷體" w:cs="標楷體"/>
              </w:rPr>
              <w:t>(Persistence)</w:t>
            </w:r>
            <w:r>
              <w:rPr>
                <w:rFonts w:ascii="標楷體" w:eastAsia="標楷體" w:hAnsi="標楷體" w:cs="標楷體"/>
              </w:rPr>
              <w:t>功能</w:t>
            </w:r>
            <w:r>
              <w:rPr>
                <w:rFonts w:ascii="標楷體" w:eastAsia="標楷體" w:hAnsi="標楷體" w:cs="標楷體"/>
              </w:rPr>
              <w:t>:Cookie Persistence</w:t>
            </w:r>
            <w:r>
              <w:rPr>
                <w:rFonts w:ascii="標楷體" w:eastAsia="標楷體" w:hAnsi="標楷體" w:cs="標楷體"/>
              </w:rPr>
              <w:t>、</w:t>
            </w:r>
            <w:r>
              <w:rPr>
                <w:rFonts w:ascii="標楷體" w:eastAsia="標楷體" w:hAnsi="標楷體" w:cs="標楷體"/>
              </w:rPr>
              <w:t>Destination address Persistence</w:t>
            </w:r>
            <w:r>
              <w:rPr>
                <w:rFonts w:ascii="標楷體" w:eastAsia="標楷體" w:hAnsi="標楷體" w:cs="標楷體"/>
              </w:rPr>
              <w:t>、</w:t>
            </w:r>
            <w:r>
              <w:rPr>
                <w:rFonts w:ascii="標楷體" w:eastAsia="標楷體" w:hAnsi="標楷體" w:cs="標楷體"/>
              </w:rPr>
              <w:t>Source address Persistence</w:t>
            </w:r>
            <w:r>
              <w:rPr>
                <w:rFonts w:ascii="標楷體" w:eastAsia="標楷體" w:hAnsi="標楷體" w:cs="標楷體"/>
              </w:rPr>
              <w:t>、</w:t>
            </w:r>
            <w:r>
              <w:rPr>
                <w:rFonts w:ascii="標楷體" w:eastAsia="標楷體" w:hAnsi="標楷體" w:cs="標楷體"/>
              </w:rPr>
              <w:t>SSL ID Persistence</w:t>
            </w:r>
            <w:r>
              <w:rPr>
                <w:rFonts w:ascii="標楷體" w:eastAsia="標楷體" w:hAnsi="標楷體" w:cs="標楷體"/>
              </w:rPr>
              <w:t>。</w:t>
            </w:r>
          </w:p>
          <w:p w14:paraId="40BFB335" w14:textId="77777777" w:rsidR="007B714E" w:rsidRDefault="00185C06">
            <w:pPr>
              <w:widowControl/>
              <w:numPr>
                <w:ilvl w:val="0"/>
                <w:numId w:val="3"/>
              </w:numPr>
              <w:spacing w:after="45" w:line="259" w:lineRule="auto"/>
              <w:rPr>
                <w:rFonts w:ascii="標楷體" w:eastAsia="標楷體" w:hAnsi="標楷體" w:cs="標楷體"/>
              </w:rPr>
            </w:pPr>
            <w:r>
              <w:rPr>
                <w:rFonts w:ascii="標楷體" w:eastAsia="標楷體" w:hAnsi="標楷體" w:cs="標楷體"/>
              </w:rPr>
              <w:t>最具備</w:t>
            </w:r>
            <w:r>
              <w:rPr>
                <w:rFonts w:ascii="標楷體" w:eastAsia="標楷體" w:hAnsi="標楷體" w:cs="標楷體"/>
              </w:rPr>
              <w:t xml:space="preserve"> Global Server Load Ba</w:t>
            </w:r>
            <w:r>
              <w:rPr>
                <w:rFonts w:ascii="標楷體" w:eastAsia="標楷體" w:hAnsi="標楷體" w:cs="標楷體"/>
              </w:rPr>
              <w:t>lancing(GSLB)</w:t>
            </w:r>
            <w:r>
              <w:rPr>
                <w:rFonts w:ascii="標楷體" w:eastAsia="標楷體" w:hAnsi="標楷體" w:cs="標楷體"/>
              </w:rPr>
              <w:t>廣域負載平衡及內建</w:t>
            </w:r>
            <w:r>
              <w:rPr>
                <w:rFonts w:ascii="標楷體" w:eastAsia="標楷體" w:hAnsi="標楷體" w:cs="標楷體"/>
              </w:rPr>
              <w:t xml:space="preserve"> DNS </w:t>
            </w:r>
            <w:r>
              <w:rPr>
                <w:rFonts w:ascii="標楷體" w:eastAsia="標楷體" w:hAnsi="標楷體" w:cs="標楷體"/>
              </w:rPr>
              <w:t>功能</w:t>
            </w:r>
            <w:r>
              <w:rPr>
                <w:rFonts w:ascii="標楷體" w:eastAsia="標楷體" w:hAnsi="標楷體" w:cs="標楷體"/>
              </w:rPr>
              <w:t xml:space="preserve">, </w:t>
            </w:r>
            <w:r>
              <w:rPr>
                <w:rFonts w:ascii="標楷體" w:eastAsia="標楷體" w:hAnsi="標楷體" w:cs="標楷體"/>
              </w:rPr>
              <w:t>並能回應</w:t>
            </w:r>
            <w:r>
              <w:rPr>
                <w:rFonts w:ascii="標楷體" w:eastAsia="標楷體" w:hAnsi="標楷體" w:cs="標楷體"/>
              </w:rPr>
              <w:t xml:space="preserve"> A Record</w:t>
            </w:r>
            <w:r>
              <w:rPr>
                <w:rFonts w:ascii="標楷體" w:eastAsia="標楷體" w:hAnsi="標楷體" w:cs="標楷體"/>
              </w:rPr>
              <w:t>，</w:t>
            </w:r>
            <w:r>
              <w:rPr>
                <w:rFonts w:ascii="標楷體" w:eastAsia="標楷體" w:hAnsi="標楷體" w:cs="標楷體"/>
              </w:rPr>
              <w:t>CNAME</w:t>
            </w:r>
            <w:r>
              <w:rPr>
                <w:rFonts w:ascii="標楷體" w:eastAsia="標楷體" w:hAnsi="標楷體" w:cs="標楷體"/>
              </w:rPr>
              <w:t>，</w:t>
            </w:r>
            <w:r>
              <w:rPr>
                <w:rFonts w:ascii="標楷體" w:eastAsia="標楷體" w:hAnsi="標楷體" w:cs="標楷體"/>
              </w:rPr>
              <w:t>MX record</w:t>
            </w:r>
            <w:r>
              <w:rPr>
                <w:rFonts w:ascii="標楷體" w:eastAsia="標楷體" w:hAnsi="標楷體" w:cs="標楷體"/>
              </w:rPr>
              <w:t>，且支援</w:t>
            </w:r>
            <w:r>
              <w:rPr>
                <w:rFonts w:ascii="標楷體" w:eastAsia="標楷體" w:hAnsi="標楷體" w:cs="標楷體"/>
              </w:rPr>
              <w:t xml:space="preserve"> DNSSEC </w:t>
            </w:r>
            <w:r>
              <w:rPr>
                <w:rFonts w:ascii="標楷體" w:eastAsia="標楷體" w:hAnsi="標楷體" w:cs="標楷體"/>
              </w:rPr>
              <w:t>功能以確保</w:t>
            </w:r>
            <w:r>
              <w:rPr>
                <w:rFonts w:ascii="標楷體" w:eastAsia="標楷體" w:hAnsi="標楷體" w:cs="標楷體"/>
              </w:rPr>
              <w:t xml:space="preserve"> DNS </w:t>
            </w:r>
            <w:r>
              <w:rPr>
                <w:rFonts w:ascii="標楷體" w:eastAsia="標楷體" w:hAnsi="標楷體" w:cs="標楷體"/>
              </w:rPr>
              <w:t>安全</w:t>
            </w:r>
            <w:r>
              <w:rPr>
                <w:rFonts w:ascii="標楷體" w:eastAsia="標楷體" w:hAnsi="標楷體" w:cs="標楷體"/>
                <w:color w:val="000000"/>
              </w:rPr>
              <w:t>。</w:t>
            </w:r>
            <w:r>
              <w:rPr>
                <w:rFonts w:ascii="標楷體" w:eastAsia="標楷體" w:hAnsi="標楷體" w:cs="標楷體"/>
                <w:color w:val="000000"/>
              </w:rPr>
              <w:t xml:space="preserve"> </w:t>
            </w:r>
          </w:p>
          <w:p w14:paraId="154ACB6D"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具備下列負載平衡之連線堅持</w:t>
            </w:r>
            <w:r>
              <w:rPr>
                <w:rFonts w:ascii="標楷體" w:eastAsia="標楷體" w:hAnsi="標楷體" w:cs="標楷體"/>
              </w:rPr>
              <w:t>(Persistence)</w:t>
            </w:r>
            <w:r>
              <w:rPr>
                <w:rFonts w:ascii="標楷體" w:eastAsia="標楷體" w:hAnsi="標楷體" w:cs="標楷體"/>
              </w:rPr>
              <w:t>功能</w:t>
            </w:r>
            <w:r>
              <w:rPr>
                <w:rFonts w:ascii="標楷體" w:eastAsia="標楷體" w:hAnsi="標楷體" w:cs="標楷體"/>
              </w:rPr>
              <w:t>:Cookie Persistence</w:t>
            </w:r>
            <w:r>
              <w:rPr>
                <w:rFonts w:ascii="標楷體" w:eastAsia="標楷體" w:hAnsi="標楷體" w:cs="標楷體"/>
              </w:rPr>
              <w:t>、</w:t>
            </w:r>
            <w:r>
              <w:rPr>
                <w:rFonts w:ascii="標楷體" w:eastAsia="標楷體" w:hAnsi="標楷體" w:cs="標楷體"/>
              </w:rPr>
              <w:t xml:space="preserve">Destination address </w:t>
            </w:r>
            <w:r>
              <w:rPr>
                <w:rFonts w:ascii="標楷體" w:eastAsia="標楷體" w:hAnsi="標楷體" w:cs="標楷體"/>
              </w:rPr>
              <w:lastRenderedPageBreak/>
              <w:t>Persistence</w:t>
            </w:r>
            <w:r>
              <w:rPr>
                <w:rFonts w:ascii="標楷體" w:eastAsia="標楷體" w:hAnsi="標楷體" w:cs="標楷體"/>
              </w:rPr>
              <w:t>、</w:t>
            </w:r>
            <w:r>
              <w:rPr>
                <w:rFonts w:ascii="標楷體" w:eastAsia="標楷體" w:hAnsi="標楷體" w:cs="標楷體"/>
              </w:rPr>
              <w:t>Source address Persistence</w:t>
            </w:r>
            <w:r>
              <w:rPr>
                <w:rFonts w:ascii="標楷體" w:eastAsia="標楷體" w:hAnsi="標楷體" w:cs="標楷體"/>
              </w:rPr>
              <w:t>、</w:t>
            </w:r>
            <w:r>
              <w:rPr>
                <w:rFonts w:ascii="標楷體" w:eastAsia="標楷體" w:hAnsi="標楷體" w:cs="標楷體"/>
              </w:rPr>
              <w:t>SIP Persistence</w:t>
            </w:r>
            <w:r>
              <w:rPr>
                <w:rFonts w:ascii="標楷體" w:eastAsia="標楷體" w:hAnsi="標楷體" w:cs="標楷體"/>
              </w:rPr>
              <w:t>、</w:t>
            </w:r>
            <w:r>
              <w:rPr>
                <w:rFonts w:ascii="標楷體" w:eastAsia="標楷體" w:hAnsi="標楷體" w:cs="標楷體"/>
              </w:rPr>
              <w:t>SSL ID Persistence</w:t>
            </w:r>
            <w:r>
              <w:rPr>
                <w:rFonts w:ascii="標楷體" w:eastAsia="標楷體" w:hAnsi="標楷體" w:cs="標楷體"/>
                <w:color w:val="000000"/>
              </w:rPr>
              <w:t>。</w:t>
            </w:r>
            <w:r>
              <w:rPr>
                <w:rFonts w:ascii="標楷體" w:eastAsia="標楷體" w:hAnsi="標楷體" w:cs="標楷體"/>
                <w:color w:val="000000"/>
              </w:rPr>
              <w:t xml:space="preserve"> </w:t>
            </w:r>
          </w:p>
          <w:p w14:paraId="716ADFE6"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最具備</w:t>
            </w:r>
            <w:r>
              <w:rPr>
                <w:rFonts w:ascii="標楷體" w:eastAsia="標楷體" w:hAnsi="標楷體" w:cs="標楷體"/>
              </w:rPr>
              <w:t xml:space="preserve"> Global Server Load Ba</w:t>
            </w:r>
            <w:r>
              <w:rPr>
                <w:rFonts w:ascii="標楷體" w:eastAsia="標楷體" w:hAnsi="標楷體" w:cs="標楷體"/>
              </w:rPr>
              <w:t>lancing(GSLB)</w:t>
            </w:r>
            <w:r>
              <w:rPr>
                <w:rFonts w:ascii="標楷體" w:eastAsia="標楷體" w:hAnsi="標楷體" w:cs="標楷體"/>
              </w:rPr>
              <w:t>廣域負載平衡及內建</w:t>
            </w:r>
            <w:r>
              <w:rPr>
                <w:rFonts w:ascii="標楷體" w:eastAsia="標楷體" w:hAnsi="標楷體" w:cs="標楷體"/>
              </w:rPr>
              <w:t xml:space="preserve"> DNS </w:t>
            </w:r>
            <w:r>
              <w:rPr>
                <w:rFonts w:ascii="標楷體" w:eastAsia="標楷體" w:hAnsi="標楷體" w:cs="標楷體"/>
              </w:rPr>
              <w:t>功能</w:t>
            </w:r>
            <w:r>
              <w:rPr>
                <w:rFonts w:ascii="標楷體" w:eastAsia="標楷體" w:hAnsi="標楷體" w:cs="標楷體"/>
              </w:rPr>
              <w:t xml:space="preserve">, </w:t>
            </w:r>
            <w:r>
              <w:rPr>
                <w:rFonts w:ascii="標楷體" w:eastAsia="標楷體" w:hAnsi="標楷體" w:cs="標楷體"/>
              </w:rPr>
              <w:t>並能回應</w:t>
            </w:r>
            <w:r>
              <w:rPr>
                <w:rFonts w:ascii="標楷體" w:eastAsia="標楷體" w:hAnsi="標楷體" w:cs="標楷體"/>
              </w:rPr>
              <w:t xml:space="preserve"> A Record</w:t>
            </w:r>
            <w:r>
              <w:rPr>
                <w:rFonts w:ascii="標楷體" w:eastAsia="標楷體" w:hAnsi="標楷體" w:cs="標楷體"/>
              </w:rPr>
              <w:t>，</w:t>
            </w:r>
            <w:r>
              <w:rPr>
                <w:rFonts w:ascii="標楷體" w:eastAsia="標楷體" w:hAnsi="標楷體" w:cs="標楷體"/>
              </w:rPr>
              <w:t>CNAME</w:t>
            </w:r>
            <w:r>
              <w:rPr>
                <w:rFonts w:ascii="標楷體" w:eastAsia="標楷體" w:hAnsi="標楷體" w:cs="標楷體"/>
              </w:rPr>
              <w:t>，</w:t>
            </w:r>
            <w:r>
              <w:rPr>
                <w:rFonts w:ascii="標楷體" w:eastAsia="標楷體" w:hAnsi="標楷體" w:cs="標楷體"/>
              </w:rPr>
              <w:t>MX record</w:t>
            </w:r>
            <w:r>
              <w:rPr>
                <w:rFonts w:ascii="標楷體" w:eastAsia="標楷體" w:hAnsi="標楷體" w:cs="標楷體"/>
              </w:rPr>
              <w:t>，且支援</w:t>
            </w:r>
            <w:r>
              <w:rPr>
                <w:rFonts w:ascii="標楷體" w:eastAsia="標楷體" w:hAnsi="標楷體" w:cs="標楷體"/>
              </w:rPr>
              <w:t xml:space="preserve"> DNSSEC </w:t>
            </w:r>
            <w:r>
              <w:rPr>
                <w:rFonts w:ascii="標楷體" w:eastAsia="標楷體" w:hAnsi="標楷體" w:cs="標楷體"/>
              </w:rPr>
              <w:t>功能以確保</w:t>
            </w:r>
            <w:r>
              <w:rPr>
                <w:rFonts w:ascii="標楷體" w:eastAsia="標楷體" w:hAnsi="標楷體" w:cs="標楷體"/>
              </w:rPr>
              <w:t xml:space="preserve"> DNS </w:t>
            </w:r>
            <w:r>
              <w:rPr>
                <w:rFonts w:ascii="標楷體" w:eastAsia="標楷體" w:hAnsi="標楷體" w:cs="標楷體"/>
              </w:rPr>
              <w:t>安全</w:t>
            </w:r>
            <w:r>
              <w:rPr>
                <w:rFonts w:ascii="標楷體" w:eastAsia="標楷體" w:hAnsi="標楷體" w:cs="標楷體"/>
                <w:color w:val="000000"/>
              </w:rPr>
              <w:t>。</w:t>
            </w:r>
            <w:r>
              <w:rPr>
                <w:rFonts w:ascii="標楷體" w:eastAsia="標楷體" w:hAnsi="標楷體" w:cs="標楷體"/>
                <w:color w:val="000000"/>
              </w:rPr>
              <w:t xml:space="preserve"> </w:t>
            </w:r>
          </w:p>
          <w:p w14:paraId="2C1C6973"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具備資料庫負載平衡功能，支援</w:t>
            </w:r>
            <w:r>
              <w:rPr>
                <w:rFonts w:ascii="標楷體" w:eastAsia="標楷體" w:hAnsi="標楷體" w:cs="標楷體"/>
              </w:rPr>
              <w:t xml:space="preserve"> Microsoft SQL </w:t>
            </w:r>
            <w:r>
              <w:rPr>
                <w:rFonts w:ascii="標楷體" w:eastAsia="標楷體" w:hAnsi="標楷體" w:cs="標楷體"/>
              </w:rPr>
              <w:t>與</w:t>
            </w:r>
            <w:r>
              <w:rPr>
                <w:rFonts w:ascii="標楷體" w:eastAsia="標楷體" w:hAnsi="標楷體" w:cs="標楷體"/>
              </w:rPr>
              <w:t xml:space="preserve"> MySQL </w:t>
            </w:r>
            <w:r>
              <w:rPr>
                <w:rFonts w:ascii="標楷體" w:eastAsia="標楷體" w:hAnsi="標楷體" w:cs="標楷體"/>
              </w:rPr>
              <w:t>兩種資料庫</w:t>
            </w:r>
            <w:r>
              <w:rPr>
                <w:rFonts w:ascii="標楷體" w:eastAsia="標楷體" w:hAnsi="標楷體" w:cs="標楷體"/>
                <w:color w:val="000000"/>
              </w:rPr>
              <w:t>。</w:t>
            </w:r>
            <w:r>
              <w:rPr>
                <w:rFonts w:ascii="標楷體" w:eastAsia="標楷體" w:hAnsi="標楷體" w:cs="標楷體"/>
                <w:color w:val="000000"/>
              </w:rPr>
              <w:t xml:space="preserve"> </w:t>
            </w:r>
          </w:p>
          <w:p w14:paraId="59063405"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w:t>
            </w:r>
            <w:r>
              <w:rPr>
                <w:rFonts w:ascii="標楷體" w:eastAsia="標楷體" w:hAnsi="標楷體" w:cs="標楷體"/>
              </w:rPr>
              <w:t xml:space="preserve"> RIP</w:t>
            </w:r>
            <w:r>
              <w:rPr>
                <w:rFonts w:ascii="標楷體" w:eastAsia="標楷體" w:hAnsi="標楷體" w:cs="標楷體"/>
              </w:rPr>
              <w:t>（</w:t>
            </w:r>
            <w:r>
              <w:rPr>
                <w:rFonts w:ascii="標楷體" w:eastAsia="標楷體" w:hAnsi="標楷體" w:cs="標楷體"/>
              </w:rPr>
              <w:t>Routing Information Protocol</w:t>
            </w:r>
            <w:r>
              <w:rPr>
                <w:rFonts w:ascii="標楷體" w:eastAsia="標楷體" w:hAnsi="標楷體" w:cs="標楷體"/>
              </w:rPr>
              <w:t>）或</w:t>
            </w:r>
            <w:r>
              <w:rPr>
                <w:rFonts w:ascii="標楷體" w:eastAsia="標楷體" w:hAnsi="標楷體" w:cs="標楷體"/>
              </w:rPr>
              <w:t xml:space="preserve"> Static Route </w:t>
            </w:r>
            <w:r>
              <w:rPr>
                <w:rFonts w:ascii="標楷體" w:eastAsia="標楷體" w:hAnsi="標楷體" w:cs="標楷體"/>
              </w:rPr>
              <w:t>路由協定，支援</w:t>
            </w:r>
            <w:r>
              <w:rPr>
                <w:rFonts w:ascii="標楷體" w:eastAsia="標楷體" w:hAnsi="標楷體" w:cs="標楷體"/>
              </w:rPr>
              <w:t xml:space="preserve"> IPV6 Static Route</w:t>
            </w:r>
            <w:r>
              <w:rPr>
                <w:rFonts w:ascii="標楷體" w:eastAsia="標楷體" w:hAnsi="標楷體" w:cs="標楷體"/>
              </w:rPr>
              <w:t>或</w:t>
            </w:r>
            <w:r>
              <w:rPr>
                <w:rFonts w:ascii="標楷體" w:eastAsia="標楷體" w:hAnsi="標楷體" w:cs="標楷體"/>
              </w:rPr>
              <w:t xml:space="preserve"> RIP v2 </w:t>
            </w:r>
            <w:r>
              <w:rPr>
                <w:rFonts w:ascii="標楷體" w:eastAsia="標楷體" w:hAnsi="標楷體" w:cs="標楷體"/>
              </w:rPr>
              <w:t>或</w:t>
            </w:r>
            <w:r>
              <w:rPr>
                <w:rFonts w:ascii="標楷體" w:eastAsia="標楷體" w:hAnsi="標楷體" w:cs="標楷體"/>
              </w:rPr>
              <w:t xml:space="preserve"> OSPF v3 </w:t>
            </w:r>
            <w:r>
              <w:rPr>
                <w:rFonts w:ascii="標楷體" w:eastAsia="標楷體" w:hAnsi="標楷體" w:cs="標楷體"/>
              </w:rPr>
              <w:t>路由協定</w:t>
            </w:r>
            <w:r>
              <w:rPr>
                <w:rFonts w:ascii="標楷體" w:eastAsia="標楷體" w:hAnsi="標楷體" w:cs="標楷體"/>
                <w:color w:val="000000"/>
              </w:rPr>
              <w:t>。</w:t>
            </w:r>
            <w:r>
              <w:rPr>
                <w:rFonts w:ascii="標楷體" w:eastAsia="標楷體" w:hAnsi="標楷體" w:cs="標楷體"/>
                <w:color w:val="000000"/>
              </w:rPr>
              <w:t xml:space="preserve"> </w:t>
            </w:r>
          </w:p>
          <w:p w14:paraId="5E069C73"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可自動偵測</w:t>
            </w:r>
            <w:r>
              <w:rPr>
                <w:rFonts w:ascii="標楷體" w:eastAsia="標楷體" w:hAnsi="標楷體" w:cs="標楷體"/>
              </w:rPr>
              <w:t xml:space="preserve"> DDoS(Distributed</w:t>
            </w:r>
            <w:r>
              <w:rPr>
                <w:rFonts w:ascii="標楷體" w:eastAsia="標楷體" w:hAnsi="標楷體" w:cs="標楷體"/>
              </w:rPr>
              <w:t xml:space="preserve"> Denial of Service)</w:t>
            </w:r>
            <w:r>
              <w:rPr>
                <w:rFonts w:ascii="標楷體" w:eastAsia="標楷體" w:hAnsi="標楷體" w:cs="標楷體"/>
              </w:rPr>
              <w:t>攻擊行為並產生阻擋，</w:t>
            </w:r>
            <w:r>
              <w:rPr>
                <w:rFonts w:ascii="標楷體" w:eastAsia="標楷體" w:hAnsi="標楷體" w:cs="標楷體"/>
              </w:rPr>
              <w:t xml:space="preserve">DDoS </w:t>
            </w:r>
            <w:r>
              <w:rPr>
                <w:rFonts w:ascii="標楷體" w:eastAsia="標楷體" w:hAnsi="標楷體" w:cs="標楷體"/>
              </w:rPr>
              <w:t>防禦能力可阻擋</w:t>
            </w:r>
            <w:r>
              <w:rPr>
                <w:rFonts w:ascii="標楷體" w:eastAsia="標楷體" w:hAnsi="標楷體" w:cs="標楷體"/>
              </w:rPr>
              <w:t xml:space="preserve">SYN Flood </w:t>
            </w:r>
            <w:r>
              <w:rPr>
                <w:rFonts w:ascii="標楷體" w:eastAsia="標楷體" w:hAnsi="標楷體" w:cs="標楷體"/>
              </w:rPr>
              <w:t>攻擊，以保護後端伺服器不會因為遭受攻擊而導致服務中斷</w:t>
            </w:r>
            <w:r>
              <w:rPr>
                <w:rFonts w:ascii="標楷體" w:eastAsia="標楷體" w:hAnsi="標楷體" w:cs="標楷體"/>
                <w:color w:val="000000"/>
              </w:rPr>
              <w:t>。</w:t>
            </w:r>
            <w:r>
              <w:rPr>
                <w:rFonts w:ascii="標楷體" w:eastAsia="標楷體" w:hAnsi="標楷體" w:cs="標楷體"/>
                <w:color w:val="000000"/>
              </w:rPr>
              <w:t xml:space="preserve"> </w:t>
            </w:r>
          </w:p>
          <w:p w14:paraId="3EACD28D"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w:t>
            </w:r>
            <w:r>
              <w:rPr>
                <w:rFonts w:ascii="標楷體" w:eastAsia="標楷體" w:hAnsi="標楷體" w:cs="標楷體"/>
              </w:rPr>
              <w:t xml:space="preserve"> NAT(Network Address Translation)</w:t>
            </w:r>
            <w:r>
              <w:rPr>
                <w:rFonts w:ascii="標楷體" w:eastAsia="標楷體" w:hAnsi="標楷體" w:cs="標楷體"/>
              </w:rPr>
              <w:t>位址轉換功能</w:t>
            </w:r>
            <w:r>
              <w:rPr>
                <w:rFonts w:ascii="標楷體" w:eastAsia="標楷體" w:hAnsi="標楷體" w:cs="標楷體"/>
                <w:color w:val="000000"/>
              </w:rPr>
              <w:t>。</w:t>
            </w:r>
            <w:r>
              <w:rPr>
                <w:rFonts w:ascii="標楷體" w:eastAsia="標楷體" w:hAnsi="標楷體" w:cs="標楷體"/>
                <w:color w:val="000000"/>
              </w:rPr>
              <w:t xml:space="preserve"> </w:t>
            </w:r>
          </w:p>
          <w:p w14:paraId="07163ED9"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提供</w:t>
            </w:r>
            <w:r>
              <w:rPr>
                <w:rFonts w:ascii="標楷體" w:eastAsia="標楷體" w:hAnsi="標楷體" w:cs="標楷體"/>
              </w:rPr>
              <w:t xml:space="preserve"> HTTP </w:t>
            </w:r>
            <w:r>
              <w:rPr>
                <w:rFonts w:ascii="標楷體" w:eastAsia="標楷體" w:hAnsi="標楷體" w:cs="標楷體"/>
              </w:rPr>
              <w:t>壓縮</w:t>
            </w:r>
            <w:r>
              <w:rPr>
                <w:rFonts w:ascii="標楷體" w:eastAsia="標楷體" w:hAnsi="標楷體" w:cs="標楷體"/>
              </w:rPr>
              <w:t>(Compression)</w:t>
            </w:r>
            <w:r>
              <w:rPr>
                <w:rFonts w:ascii="標楷體" w:eastAsia="標楷體" w:hAnsi="標楷體" w:cs="標楷體"/>
              </w:rPr>
              <w:t>及記憶體快取</w:t>
            </w:r>
            <w:r>
              <w:rPr>
                <w:rFonts w:ascii="標楷體" w:eastAsia="標楷體" w:hAnsi="標楷體" w:cs="標楷體"/>
              </w:rPr>
              <w:t>(Ram Cache)</w:t>
            </w:r>
            <w:r>
              <w:rPr>
                <w:rFonts w:ascii="標楷體" w:eastAsia="標楷體" w:hAnsi="標楷體" w:cs="標楷體"/>
              </w:rPr>
              <w:t>等加速功能，並具備</w:t>
            </w:r>
            <w:r>
              <w:rPr>
                <w:rFonts w:ascii="標楷體" w:eastAsia="標楷體" w:hAnsi="標楷體" w:cs="標楷體"/>
              </w:rPr>
              <w:t xml:space="preserve"> TCP </w:t>
            </w:r>
            <w:r>
              <w:rPr>
                <w:rFonts w:ascii="標楷體" w:eastAsia="標楷體" w:hAnsi="標楷體" w:cs="標楷體"/>
              </w:rPr>
              <w:t>連線優化功能以降低伺服器連線負擔</w:t>
            </w:r>
            <w:r>
              <w:rPr>
                <w:rFonts w:ascii="標楷體" w:eastAsia="標楷體" w:hAnsi="標楷體" w:cs="標楷體"/>
                <w:color w:val="000000"/>
              </w:rPr>
              <w:t>。</w:t>
            </w:r>
            <w:r>
              <w:rPr>
                <w:rFonts w:ascii="標楷體" w:eastAsia="標楷體" w:hAnsi="標楷體" w:cs="標楷體"/>
                <w:color w:val="000000"/>
              </w:rPr>
              <w:t xml:space="preserve"> </w:t>
            </w:r>
          </w:p>
          <w:p w14:paraId="7B75B337"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具備硬體</w:t>
            </w:r>
            <w:r>
              <w:rPr>
                <w:rFonts w:ascii="標楷體" w:eastAsia="標楷體" w:hAnsi="標楷體" w:cs="標楷體"/>
              </w:rPr>
              <w:t xml:space="preserve"> SSL(Secure Sockets Layer)</w:t>
            </w:r>
            <w:r>
              <w:rPr>
                <w:rFonts w:ascii="標楷體" w:eastAsia="標楷體" w:hAnsi="標楷體" w:cs="標楷體"/>
              </w:rPr>
              <w:t>加速</w:t>
            </w:r>
            <w:r>
              <w:rPr>
                <w:rFonts w:ascii="標楷體" w:eastAsia="標楷體" w:hAnsi="標楷體" w:cs="標楷體"/>
              </w:rPr>
              <w:t>(Acceleration)</w:t>
            </w:r>
            <w:r>
              <w:rPr>
                <w:rFonts w:ascii="標楷體" w:eastAsia="標楷體" w:hAnsi="標楷體" w:cs="標楷體"/>
              </w:rPr>
              <w:t>與卸載</w:t>
            </w:r>
            <w:r>
              <w:rPr>
                <w:rFonts w:ascii="標楷體" w:eastAsia="標楷體" w:hAnsi="標楷體" w:cs="標楷體"/>
              </w:rPr>
              <w:t>(Offload)</w:t>
            </w:r>
            <w:r>
              <w:rPr>
                <w:rFonts w:ascii="標楷體" w:eastAsia="標楷體" w:hAnsi="標楷體" w:cs="標楷體"/>
              </w:rPr>
              <w:t>功</w:t>
            </w:r>
            <w:r>
              <w:rPr>
                <w:rFonts w:ascii="標楷體" w:eastAsia="標楷體" w:hAnsi="標楷體" w:cs="標楷體"/>
              </w:rPr>
              <w:t>能，並支援</w:t>
            </w:r>
            <w:r>
              <w:rPr>
                <w:rFonts w:ascii="標楷體" w:eastAsia="標楷體" w:hAnsi="標楷體" w:cs="標楷體"/>
              </w:rPr>
              <w:t xml:space="preserve"> TLS1.2 </w:t>
            </w:r>
            <w:r>
              <w:rPr>
                <w:rFonts w:ascii="標楷體" w:eastAsia="標楷體" w:hAnsi="標楷體" w:cs="標楷體"/>
              </w:rPr>
              <w:t>及</w:t>
            </w:r>
            <w:r>
              <w:rPr>
                <w:rFonts w:ascii="標楷體" w:eastAsia="標楷體" w:hAnsi="標楷體" w:cs="標楷體"/>
              </w:rPr>
              <w:t xml:space="preserve"> TLS 1.3 </w:t>
            </w:r>
            <w:r>
              <w:rPr>
                <w:rFonts w:ascii="標楷體" w:eastAsia="標楷體" w:hAnsi="標楷體" w:cs="標楷體"/>
              </w:rPr>
              <w:t>加解密功能</w:t>
            </w:r>
            <w:r>
              <w:rPr>
                <w:rFonts w:ascii="標楷體" w:eastAsia="標楷體" w:hAnsi="標楷體" w:cs="標楷體"/>
                <w:color w:val="000000"/>
              </w:rPr>
              <w:t>。</w:t>
            </w:r>
            <w:r>
              <w:rPr>
                <w:rFonts w:ascii="標楷體" w:eastAsia="標楷體" w:hAnsi="標楷體" w:cs="標楷體"/>
                <w:color w:val="000000"/>
              </w:rPr>
              <w:t xml:space="preserve"> </w:t>
            </w:r>
          </w:p>
          <w:p w14:paraId="6D694182"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提供</w:t>
            </w:r>
            <w:r>
              <w:rPr>
                <w:rFonts w:ascii="標楷體" w:eastAsia="標楷體" w:hAnsi="標楷體" w:cs="標楷體"/>
              </w:rPr>
              <w:t xml:space="preserve"> CLI(Command Line Interface)</w:t>
            </w:r>
            <w:r>
              <w:rPr>
                <w:rFonts w:ascii="標楷體" w:eastAsia="標楷體" w:hAnsi="標楷體" w:cs="標楷體"/>
              </w:rPr>
              <w:t>、</w:t>
            </w:r>
            <w:r>
              <w:rPr>
                <w:rFonts w:ascii="標楷體" w:eastAsia="標楷體" w:hAnsi="標楷體" w:cs="標楷體"/>
              </w:rPr>
              <w:t xml:space="preserve">SSH </w:t>
            </w:r>
            <w:r>
              <w:rPr>
                <w:rFonts w:ascii="標楷體" w:eastAsia="標楷體" w:hAnsi="標楷體" w:cs="標楷體"/>
              </w:rPr>
              <w:t>命令列管理介面與</w:t>
            </w:r>
            <w:r>
              <w:rPr>
                <w:rFonts w:ascii="標楷體" w:eastAsia="標楷體" w:hAnsi="標楷體" w:cs="標楷體"/>
              </w:rPr>
              <w:t xml:space="preserve"> Web GUI </w:t>
            </w:r>
            <w:r>
              <w:rPr>
                <w:rFonts w:ascii="標楷體" w:eastAsia="標楷體" w:hAnsi="標楷體" w:cs="標楷體"/>
              </w:rPr>
              <w:t>管理介面，並可提供事件紀錄及韌體更新等功能</w:t>
            </w:r>
            <w:r>
              <w:rPr>
                <w:rFonts w:ascii="標楷體" w:eastAsia="標楷體" w:hAnsi="標楷體" w:cs="標楷體"/>
                <w:color w:val="000000"/>
              </w:rPr>
              <w:t>。</w:t>
            </w:r>
            <w:r>
              <w:rPr>
                <w:rFonts w:ascii="標楷體" w:eastAsia="標楷體" w:hAnsi="標楷體" w:cs="標楷體"/>
                <w:color w:val="000000"/>
              </w:rPr>
              <w:t xml:space="preserve"> </w:t>
            </w:r>
          </w:p>
          <w:p w14:paraId="7A03143B"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提供</w:t>
            </w:r>
            <w:r>
              <w:rPr>
                <w:rFonts w:ascii="標楷體" w:eastAsia="標楷體" w:hAnsi="標楷體" w:cs="標楷體"/>
              </w:rPr>
              <w:t xml:space="preserve"> REST-based</w:t>
            </w:r>
            <w:r>
              <w:rPr>
                <w:rFonts w:ascii="標楷體" w:eastAsia="標楷體" w:hAnsi="標楷體" w:cs="標楷體"/>
              </w:rPr>
              <w:t>格式之應用程式開發介面</w:t>
            </w:r>
            <w:r>
              <w:rPr>
                <w:rFonts w:ascii="標楷體" w:eastAsia="標楷體" w:hAnsi="標楷體" w:cs="標楷體"/>
              </w:rPr>
              <w:t xml:space="preserve"> (API) , </w:t>
            </w:r>
            <w:r>
              <w:rPr>
                <w:rFonts w:ascii="標楷體" w:eastAsia="標楷體" w:hAnsi="標楷體" w:cs="標楷體"/>
              </w:rPr>
              <w:t>以利第三方客制化應用程式整合</w:t>
            </w:r>
            <w:r>
              <w:rPr>
                <w:rFonts w:ascii="標楷體" w:eastAsia="標楷體" w:hAnsi="標楷體" w:cs="標楷體"/>
                <w:color w:val="000000"/>
              </w:rPr>
              <w:t>。</w:t>
            </w:r>
            <w:r>
              <w:rPr>
                <w:rFonts w:ascii="標楷體" w:eastAsia="標楷體" w:hAnsi="標楷體" w:cs="標楷體"/>
                <w:color w:val="000000"/>
              </w:rPr>
              <w:t xml:space="preserve"> </w:t>
            </w:r>
          </w:p>
          <w:p w14:paraId="632C0CF3"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系統需具備自定義腳本功能，並上傳至設備</w:t>
            </w:r>
            <w:r>
              <w:rPr>
                <w:rFonts w:ascii="標楷體" w:eastAsia="標楷體" w:hAnsi="標楷體" w:cs="標楷體"/>
              </w:rPr>
              <w:t xml:space="preserve">, </w:t>
            </w:r>
            <w:r>
              <w:rPr>
                <w:rFonts w:ascii="標楷體" w:eastAsia="標楷體" w:hAnsi="標楷體" w:cs="標楷體"/>
              </w:rPr>
              <w:t>可使系統管理員依據應用內容之資料做為負載均衡之依據</w:t>
            </w:r>
            <w:r>
              <w:rPr>
                <w:rFonts w:ascii="標楷體" w:eastAsia="標楷體" w:hAnsi="標楷體" w:cs="標楷體"/>
                <w:color w:val="000000"/>
              </w:rPr>
              <w:t>。</w:t>
            </w:r>
            <w:r>
              <w:rPr>
                <w:rFonts w:ascii="標楷體" w:eastAsia="標楷體" w:hAnsi="標楷體" w:cs="標楷體"/>
                <w:color w:val="000000"/>
              </w:rPr>
              <w:t xml:space="preserve"> </w:t>
            </w:r>
          </w:p>
          <w:p w14:paraId="2BF9A750"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系統具備匯入自訂之健康檢查方法</w:t>
            </w:r>
            <w:r>
              <w:rPr>
                <w:rFonts w:ascii="標楷體" w:eastAsia="標楷體" w:hAnsi="標楷體" w:cs="標楷體"/>
                <w:color w:val="000000"/>
              </w:rPr>
              <w:t>。</w:t>
            </w:r>
            <w:r>
              <w:rPr>
                <w:rFonts w:ascii="標楷體" w:eastAsia="標楷體" w:hAnsi="標楷體" w:cs="標楷體"/>
                <w:color w:val="000000"/>
              </w:rPr>
              <w:t xml:space="preserve"> </w:t>
            </w:r>
          </w:p>
          <w:p w14:paraId="23946428"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具備鏈路負載均衡</w:t>
            </w:r>
            <w:r>
              <w:rPr>
                <w:rFonts w:ascii="標楷體" w:eastAsia="標楷體" w:hAnsi="標楷體" w:cs="標楷體"/>
              </w:rPr>
              <w:t xml:space="preserve"> (Link Load Balancing )</w:t>
            </w:r>
            <w:r>
              <w:rPr>
                <w:rFonts w:ascii="標楷體" w:eastAsia="標楷體" w:hAnsi="標楷體" w:cs="標楷體"/>
              </w:rPr>
              <w:t>之</w:t>
            </w:r>
            <w:r>
              <w:rPr>
                <w:rFonts w:ascii="標楷體" w:eastAsia="標楷體" w:hAnsi="標楷體" w:cs="標楷體"/>
              </w:rPr>
              <w:t>功能，支援多鏈路接入模式及單一會話連接使用同鏈路進出之功能</w:t>
            </w:r>
            <w:r>
              <w:rPr>
                <w:rFonts w:ascii="標楷體" w:eastAsia="標楷體" w:hAnsi="標楷體" w:cs="標楷體"/>
                <w:color w:val="000000"/>
              </w:rPr>
              <w:t>。</w:t>
            </w:r>
            <w:r>
              <w:rPr>
                <w:rFonts w:ascii="標楷體" w:eastAsia="標楷體" w:hAnsi="標楷體" w:cs="標楷體"/>
                <w:color w:val="000000"/>
              </w:rPr>
              <w:t xml:space="preserve"> </w:t>
            </w:r>
          </w:p>
          <w:p w14:paraId="0ED31FEF"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可支援</w:t>
            </w:r>
            <w:r>
              <w:rPr>
                <w:rFonts w:ascii="標楷體" w:eastAsia="標楷體" w:hAnsi="標楷體" w:cs="標楷體"/>
              </w:rPr>
              <w:t xml:space="preserve"> 16 </w:t>
            </w:r>
            <w:r>
              <w:rPr>
                <w:rFonts w:ascii="標楷體" w:eastAsia="標楷體" w:hAnsi="標楷體" w:cs="標楷體"/>
              </w:rPr>
              <w:t>組以上</w:t>
            </w:r>
            <w:r>
              <w:rPr>
                <w:rFonts w:ascii="標楷體" w:eastAsia="標楷體" w:hAnsi="標楷體" w:cs="標楷體"/>
              </w:rPr>
              <w:t>(</w:t>
            </w:r>
            <w:r>
              <w:rPr>
                <w:rFonts w:ascii="標楷體" w:eastAsia="標楷體" w:hAnsi="標楷體" w:cs="標楷體"/>
              </w:rPr>
              <w:t>含</w:t>
            </w:r>
            <w:r>
              <w:rPr>
                <w:rFonts w:ascii="標楷體" w:eastAsia="標楷體" w:hAnsi="標楷體" w:cs="標楷體"/>
              </w:rPr>
              <w:t>)</w:t>
            </w:r>
            <w:r>
              <w:rPr>
                <w:rFonts w:ascii="標楷體" w:eastAsia="標楷體" w:hAnsi="標楷體" w:cs="標楷體"/>
              </w:rPr>
              <w:t>虛擬負載平衡設備，每一分區具備獨立的路由表及</w:t>
            </w:r>
            <w:r>
              <w:rPr>
                <w:rFonts w:ascii="標楷體" w:eastAsia="標楷體" w:hAnsi="標楷體" w:cs="標楷體"/>
              </w:rPr>
              <w:t xml:space="preserve"> IP</w:t>
            </w:r>
            <w:r>
              <w:rPr>
                <w:rFonts w:ascii="標楷體" w:eastAsia="標楷體" w:hAnsi="標楷體" w:cs="標楷體"/>
              </w:rPr>
              <w:t>、動態路由等功能，且每一組虛擬系統可分別設定各別的管理者帳號並只看見自己所擁有之虛擬系統</w:t>
            </w:r>
            <w:r>
              <w:rPr>
                <w:rFonts w:ascii="標楷體" w:eastAsia="標楷體" w:hAnsi="標楷體" w:cs="標楷體"/>
                <w:color w:val="000000"/>
              </w:rPr>
              <w:t>。</w:t>
            </w:r>
            <w:r>
              <w:rPr>
                <w:rFonts w:ascii="標楷體" w:eastAsia="標楷體" w:hAnsi="標楷體" w:cs="標楷體"/>
                <w:color w:val="000000"/>
              </w:rPr>
              <w:t xml:space="preserve"> </w:t>
            </w:r>
          </w:p>
          <w:p w14:paraId="547CDFA7"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lastRenderedPageBreak/>
              <w:t>獨立主機機箱本身提供</w:t>
            </w:r>
            <w:r>
              <w:rPr>
                <w:rFonts w:ascii="標楷體" w:eastAsia="標楷體" w:hAnsi="標楷體" w:cs="標楷體"/>
              </w:rPr>
              <w:t xml:space="preserve"> 2 </w:t>
            </w:r>
            <w:r>
              <w:rPr>
                <w:rFonts w:ascii="標楷體" w:eastAsia="標楷體" w:hAnsi="標楷體" w:cs="標楷體"/>
              </w:rPr>
              <w:t>顆電源供應器，具備熱抽取式備援功能</w:t>
            </w:r>
            <w:r>
              <w:rPr>
                <w:rFonts w:ascii="標楷體" w:eastAsia="標楷體" w:hAnsi="標楷體" w:cs="標楷體"/>
                <w:color w:val="000000"/>
              </w:rPr>
              <w:t>。</w:t>
            </w:r>
            <w:r>
              <w:rPr>
                <w:rFonts w:ascii="標楷體" w:eastAsia="標楷體" w:hAnsi="標楷體" w:cs="標楷體"/>
                <w:color w:val="000000"/>
              </w:rPr>
              <w:t xml:space="preserve"> </w:t>
            </w:r>
          </w:p>
          <w:p w14:paraId="559CDC9D"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符合標準</w:t>
            </w:r>
            <w:r>
              <w:rPr>
                <w:rFonts w:ascii="標楷體" w:eastAsia="標楷體" w:hAnsi="標楷體" w:cs="標楷體"/>
              </w:rPr>
              <w:t xml:space="preserve"> 19 </w:t>
            </w:r>
            <w:r>
              <w:rPr>
                <w:rFonts w:ascii="標楷體" w:eastAsia="標楷體" w:hAnsi="標楷體" w:cs="標楷體"/>
              </w:rPr>
              <w:t>吋機架式規格，單一設備高度不得超過</w:t>
            </w:r>
            <w:r>
              <w:rPr>
                <w:rFonts w:ascii="標楷體" w:eastAsia="標楷體" w:hAnsi="標楷體" w:cs="標楷體"/>
              </w:rPr>
              <w:t xml:space="preserve"> 1U(</w:t>
            </w:r>
            <w:r>
              <w:rPr>
                <w:rFonts w:ascii="標楷體" w:eastAsia="標楷體" w:hAnsi="標楷體" w:cs="標楷體"/>
              </w:rPr>
              <w:t>含</w:t>
            </w:r>
            <w:r>
              <w:rPr>
                <w:rFonts w:ascii="標楷體" w:eastAsia="標楷體" w:hAnsi="標楷體" w:cs="標楷體"/>
              </w:rPr>
              <w:t>)</w:t>
            </w:r>
            <w:r>
              <w:rPr>
                <w:rFonts w:ascii="標楷體" w:eastAsia="標楷體" w:hAnsi="標楷體" w:cs="標楷體"/>
                <w:color w:val="000000"/>
              </w:rPr>
              <w:t>。</w:t>
            </w:r>
          </w:p>
          <w:p w14:paraId="7DC84FCB"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支援網路設備</w:t>
            </w:r>
            <w:r>
              <w:rPr>
                <w:rFonts w:ascii="標楷體" w:eastAsia="標楷體" w:hAnsi="標楷體" w:cs="標楷體"/>
              </w:rPr>
              <w:t xml:space="preserve"> HA(High Availability)</w:t>
            </w:r>
            <w:r>
              <w:rPr>
                <w:rFonts w:ascii="標楷體" w:eastAsia="標楷體" w:hAnsi="標楷體" w:cs="標楷體"/>
              </w:rPr>
              <w:t>備援功能，使單機發生故障無法運作時</w:t>
            </w:r>
            <w:r>
              <w:rPr>
                <w:rFonts w:ascii="標楷體" w:eastAsia="標楷體" w:hAnsi="標楷體" w:cs="標楷體"/>
              </w:rPr>
              <w:t xml:space="preserve">, </w:t>
            </w:r>
            <w:r>
              <w:rPr>
                <w:rFonts w:ascii="標楷體" w:eastAsia="標楷體" w:hAnsi="標楷體" w:cs="標楷體"/>
              </w:rPr>
              <w:t>備援設備可接續網路運作</w:t>
            </w:r>
            <w:r>
              <w:rPr>
                <w:rFonts w:ascii="標楷體" w:eastAsia="標楷體" w:hAnsi="標楷體" w:cs="標楷體"/>
                <w:color w:val="000000"/>
              </w:rPr>
              <w:t>。</w:t>
            </w:r>
          </w:p>
          <w:p w14:paraId="08AA1A02"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具備</w:t>
            </w:r>
            <w:r>
              <w:rPr>
                <w:rFonts w:ascii="標楷體" w:eastAsia="標楷體" w:hAnsi="標楷體" w:cs="標楷體"/>
              </w:rPr>
              <w:t xml:space="preserve"> IPv4/IPv6 </w:t>
            </w:r>
            <w:r>
              <w:rPr>
                <w:rFonts w:ascii="標楷體" w:eastAsia="標楷體" w:hAnsi="標楷體" w:cs="標楷體"/>
              </w:rPr>
              <w:t>雙協定</w:t>
            </w:r>
            <w:r>
              <w:rPr>
                <w:rFonts w:ascii="標楷體" w:eastAsia="標楷體" w:hAnsi="標楷體" w:cs="標楷體"/>
              </w:rPr>
              <w:t>(Dual Stack)</w:t>
            </w:r>
            <w:r>
              <w:rPr>
                <w:rFonts w:ascii="標楷體" w:eastAsia="標楷體" w:hAnsi="標楷體" w:cs="標楷體"/>
              </w:rPr>
              <w:t>技術，同時提供</w:t>
            </w:r>
            <w:r>
              <w:rPr>
                <w:rFonts w:ascii="標楷體" w:eastAsia="標楷體" w:hAnsi="標楷體" w:cs="標楷體"/>
              </w:rPr>
              <w:t xml:space="preserve"> IPv4 </w:t>
            </w:r>
            <w:r>
              <w:rPr>
                <w:rFonts w:ascii="標楷體" w:eastAsia="標楷體" w:hAnsi="標楷體" w:cs="標楷體"/>
              </w:rPr>
              <w:t>與</w:t>
            </w:r>
            <w:r>
              <w:rPr>
                <w:rFonts w:ascii="標楷體" w:eastAsia="標楷體" w:hAnsi="標楷體" w:cs="標楷體"/>
              </w:rPr>
              <w:t xml:space="preserve"> IPv6 </w:t>
            </w:r>
            <w:r>
              <w:rPr>
                <w:rFonts w:ascii="標楷體" w:eastAsia="標楷體" w:hAnsi="標楷體" w:cs="標楷體"/>
              </w:rPr>
              <w:t>處理能力。</w:t>
            </w:r>
          </w:p>
          <w:p w14:paraId="00B46A90"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需符合下列規範</w:t>
            </w:r>
            <w:r>
              <w:rPr>
                <w:rFonts w:ascii="標楷體" w:eastAsia="標楷體" w:hAnsi="標楷體" w:cs="標楷體"/>
              </w:rPr>
              <w:t xml:space="preserve"> : FCC Class A, UL, CE</w:t>
            </w:r>
            <w:r>
              <w:rPr>
                <w:rFonts w:ascii="標楷體" w:eastAsia="標楷體" w:hAnsi="標楷體" w:cs="標楷體"/>
              </w:rPr>
              <w:t>。</w:t>
            </w:r>
          </w:p>
          <w:p w14:paraId="2468D3C1" w14:textId="77777777" w:rsidR="007B714E" w:rsidRDefault="00185C06">
            <w:pPr>
              <w:widowControl/>
              <w:numPr>
                <w:ilvl w:val="0"/>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設備需提供下列管理機制</w:t>
            </w:r>
          </w:p>
          <w:p w14:paraId="64906ADB" w14:textId="77777777" w:rsidR="007B714E" w:rsidRDefault="00185C06">
            <w:pPr>
              <w:widowControl/>
              <w:numPr>
                <w:ilvl w:val="1"/>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可新增、停用、刪除使用者帳號</w:t>
            </w:r>
          </w:p>
          <w:p w14:paraId="13602D70" w14:textId="77777777" w:rsidR="007B714E" w:rsidRDefault="00185C06">
            <w:pPr>
              <w:widowControl/>
              <w:numPr>
                <w:ilvl w:val="1"/>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可依群組方式賦予各帳號權限</w:t>
            </w:r>
          </w:p>
          <w:p w14:paraId="6BBBE39F" w14:textId="77777777" w:rsidR="007B714E" w:rsidRDefault="00185C06">
            <w:pPr>
              <w:widowControl/>
              <w:numPr>
                <w:ilvl w:val="1"/>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可設定密碼長度、密碼複雜度、密碼錯誤</w:t>
            </w:r>
            <w:r>
              <w:rPr>
                <w:rFonts w:ascii="標楷體" w:eastAsia="標楷體" w:hAnsi="標楷體" w:cs="標楷體"/>
              </w:rPr>
              <w:t>N</w:t>
            </w:r>
            <w:r>
              <w:rPr>
                <w:rFonts w:ascii="標楷體" w:eastAsia="標楷體" w:hAnsi="標楷體" w:cs="標楷體"/>
              </w:rPr>
              <w:t>伺候鎖定帳號等</w:t>
            </w:r>
          </w:p>
          <w:p w14:paraId="221844F9" w14:textId="77777777" w:rsidR="007B714E" w:rsidRDefault="00185C06">
            <w:pPr>
              <w:widowControl/>
              <w:numPr>
                <w:ilvl w:val="1"/>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可設定閒置時間，系統可自動登出閒置過久之帳號</w:t>
            </w:r>
          </w:p>
          <w:p w14:paraId="181AC1D3" w14:textId="77777777" w:rsidR="007B714E" w:rsidRDefault="00185C06">
            <w:pPr>
              <w:widowControl/>
              <w:numPr>
                <w:ilvl w:val="1"/>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可將系統日誌匯出</w:t>
            </w:r>
          </w:p>
          <w:p w14:paraId="558A8C6D" w14:textId="77777777" w:rsidR="007B714E" w:rsidRDefault="00185C06">
            <w:pPr>
              <w:widowControl/>
              <w:numPr>
                <w:ilvl w:val="1"/>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可選擇是否開啟系統事件紀錄</w:t>
            </w:r>
          </w:p>
          <w:p w14:paraId="3F3A0418" w14:textId="77777777" w:rsidR="007B714E" w:rsidRDefault="00185C06">
            <w:pPr>
              <w:widowControl/>
              <w:numPr>
                <w:ilvl w:val="1"/>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可設定系統校時對象</w:t>
            </w:r>
          </w:p>
          <w:p w14:paraId="2FBBE609" w14:textId="77777777" w:rsidR="007B714E" w:rsidRDefault="00185C06">
            <w:pPr>
              <w:widowControl/>
              <w:numPr>
                <w:ilvl w:val="1"/>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可將系統設定備份</w:t>
            </w:r>
          </w:p>
        </w:tc>
        <w:tc>
          <w:tcPr>
            <w:tcW w:w="720" w:type="dxa"/>
            <w:tcBorders>
              <w:top w:val="single" w:sz="6" w:space="0" w:color="000000"/>
              <w:left w:val="single" w:sz="12" w:space="0" w:color="000000"/>
              <w:bottom w:val="single" w:sz="4" w:space="0" w:color="000000"/>
              <w:right w:val="single" w:sz="12" w:space="0" w:color="000000"/>
            </w:tcBorders>
          </w:tcPr>
          <w:p w14:paraId="5674AE86" w14:textId="77777777" w:rsidR="007B714E" w:rsidRDefault="00185C06">
            <w:pPr>
              <w:spacing w:after="40"/>
              <w:ind w:left="239"/>
              <w:rPr>
                <w:rFonts w:ascii="標楷體" w:eastAsia="標楷體" w:hAnsi="標楷體" w:cs="標楷體"/>
              </w:rPr>
            </w:pPr>
            <w:r>
              <w:rPr>
                <w:rFonts w:ascii="標楷體" w:eastAsia="標楷體" w:hAnsi="標楷體" w:cs="標楷體"/>
              </w:rPr>
              <w:lastRenderedPageBreak/>
              <w:t>台</w:t>
            </w:r>
            <w:r>
              <w:rPr>
                <w:rFonts w:ascii="標楷體" w:eastAsia="標楷體" w:hAnsi="標楷體" w:cs="標楷體"/>
              </w:rPr>
              <w:t xml:space="preserve"> </w:t>
            </w:r>
          </w:p>
        </w:tc>
        <w:tc>
          <w:tcPr>
            <w:tcW w:w="750" w:type="dxa"/>
            <w:tcBorders>
              <w:top w:val="single" w:sz="6" w:space="0" w:color="000000"/>
              <w:left w:val="single" w:sz="12" w:space="0" w:color="000000"/>
              <w:bottom w:val="single" w:sz="4" w:space="0" w:color="000000"/>
              <w:right w:val="single" w:sz="12" w:space="0" w:color="000000"/>
            </w:tcBorders>
          </w:tcPr>
          <w:p w14:paraId="555840EA" w14:textId="77777777" w:rsidR="007B714E" w:rsidRDefault="00185C06">
            <w:pPr>
              <w:spacing w:after="60"/>
              <w:ind w:left="61"/>
              <w:jc w:val="center"/>
              <w:rPr>
                <w:rFonts w:ascii="標楷體" w:eastAsia="標楷體" w:hAnsi="標楷體" w:cs="標楷體"/>
              </w:rPr>
            </w:pPr>
            <w:r>
              <w:rPr>
                <w:rFonts w:ascii="標楷體" w:eastAsia="標楷體" w:hAnsi="標楷體" w:cs="標楷體"/>
              </w:rPr>
              <w:t>2</w:t>
            </w:r>
          </w:p>
        </w:tc>
      </w:tr>
      <w:tr w:rsidR="007B714E" w14:paraId="3D25392C" w14:textId="77777777">
        <w:trPr>
          <w:trHeight w:val="59"/>
        </w:trPr>
        <w:tc>
          <w:tcPr>
            <w:tcW w:w="750" w:type="dxa"/>
            <w:tcBorders>
              <w:top w:val="single" w:sz="6" w:space="0" w:color="000000"/>
              <w:left w:val="single" w:sz="12" w:space="0" w:color="000000"/>
              <w:right w:val="single" w:sz="12" w:space="0" w:color="000000"/>
            </w:tcBorders>
          </w:tcPr>
          <w:p w14:paraId="05792EDD" w14:textId="77777777" w:rsidR="007B714E" w:rsidRDefault="00185C06">
            <w:pPr>
              <w:spacing w:after="60"/>
              <w:ind w:left="61"/>
              <w:jc w:val="center"/>
              <w:rPr>
                <w:rFonts w:ascii="標楷體" w:eastAsia="標楷體" w:hAnsi="標楷體" w:cs="標楷體"/>
              </w:rPr>
            </w:pPr>
            <w:r>
              <w:rPr>
                <w:rFonts w:ascii="標楷體" w:eastAsia="標楷體" w:hAnsi="標楷體" w:cs="標楷體"/>
              </w:rPr>
              <w:lastRenderedPageBreak/>
              <w:t>2</w:t>
            </w:r>
          </w:p>
        </w:tc>
        <w:tc>
          <w:tcPr>
            <w:tcW w:w="1110" w:type="dxa"/>
            <w:tcBorders>
              <w:top w:val="single" w:sz="6" w:space="0" w:color="000000"/>
              <w:left w:val="single" w:sz="12" w:space="0" w:color="000000"/>
              <w:bottom w:val="single" w:sz="4" w:space="0" w:color="000000"/>
              <w:right w:val="single" w:sz="12" w:space="0" w:color="000000"/>
            </w:tcBorders>
          </w:tcPr>
          <w:p w14:paraId="1507970D" w14:textId="77777777" w:rsidR="007B714E" w:rsidRDefault="00185C06">
            <w:pPr>
              <w:spacing w:after="41"/>
              <w:ind w:left="59"/>
              <w:jc w:val="center"/>
              <w:rPr>
                <w:rFonts w:ascii="標楷體" w:eastAsia="標楷體" w:hAnsi="標楷體" w:cs="標楷體"/>
              </w:rPr>
            </w:pPr>
            <w:r>
              <w:rPr>
                <w:rFonts w:ascii="標楷體" w:eastAsia="標楷體" w:hAnsi="標楷體" w:cs="標楷體"/>
              </w:rPr>
              <w:t>保固服務</w:t>
            </w:r>
          </w:p>
        </w:tc>
        <w:tc>
          <w:tcPr>
            <w:tcW w:w="6090" w:type="dxa"/>
            <w:tcBorders>
              <w:top w:val="single" w:sz="6" w:space="0" w:color="000000"/>
              <w:left w:val="single" w:sz="12" w:space="0" w:color="000000"/>
              <w:bottom w:val="single" w:sz="4" w:space="0" w:color="000000"/>
              <w:right w:val="single" w:sz="12" w:space="0" w:color="000000"/>
            </w:tcBorders>
          </w:tcPr>
          <w:p w14:paraId="5F3A7B21" w14:textId="77777777" w:rsidR="007B714E" w:rsidRDefault="00185C06">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5</w:t>
            </w:r>
            <w:r>
              <w:rPr>
                <w:rFonts w:ascii="標楷體" w:eastAsia="標楷體" w:hAnsi="標楷體" w:cs="標楷體"/>
                <w:color w:val="000000"/>
                <w:szCs w:val="24"/>
              </w:rPr>
              <w:t>年保固服務</w:t>
            </w:r>
          </w:p>
        </w:tc>
        <w:tc>
          <w:tcPr>
            <w:tcW w:w="720" w:type="dxa"/>
            <w:tcBorders>
              <w:top w:val="single" w:sz="6" w:space="0" w:color="000000"/>
              <w:left w:val="single" w:sz="12" w:space="0" w:color="000000"/>
              <w:bottom w:val="single" w:sz="4" w:space="0" w:color="000000"/>
              <w:right w:val="single" w:sz="12" w:space="0" w:color="000000"/>
            </w:tcBorders>
          </w:tcPr>
          <w:p w14:paraId="61927DAC" w14:textId="77777777" w:rsidR="007B714E" w:rsidRDefault="00185C06">
            <w:pPr>
              <w:spacing w:after="40"/>
              <w:ind w:left="239"/>
              <w:rPr>
                <w:rFonts w:ascii="標楷體" w:eastAsia="標楷體" w:hAnsi="標楷體" w:cs="標楷體"/>
              </w:rPr>
            </w:pPr>
            <w:r>
              <w:rPr>
                <w:rFonts w:ascii="標楷體" w:eastAsia="標楷體" w:hAnsi="標楷體" w:cs="標楷體"/>
              </w:rPr>
              <w:t>式</w:t>
            </w:r>
          </w:p>
        </w:tc>
        <w:tc>
          <w:tcPr>
            <w:tcW w:w="750" w:type="dxa"/>
            <w:tcBorders>
              <w:top w:val="single" w:sz="6" w:space="0" w:color="000000"/>
              <w:left w:val="single" w:sz="12" w:space="0" w:color="000000"/>
              <w:bottom w:val="single" w:sz="4" w:space="0" w:color="000000"/>
              <w:right w:val="single" w:sz="12" w:space="0" w:color="000000"/>
            </w:tcBorders>
          </w:tcPr>
          <w:p w14:paraId="4BEC23C6" w14:textId="77777777" w:rsidR="007B714E" w:rsidRDefault="00185C06">
            <w:pPr>
              <w:spacing w:after="60"/>
              <w:ind w:left="61"/>
              <w:jc w:val="center"/>
              <w:rPr>
                <w:rFonts w:ascii="標楷體" w:eastAsia="標楷體" w:hAnsi="標楷體" w:cs="標楷體"/>
              </w:rPr>
            </w:pPr>
            <w:r>
              <w:rPr>
                <w:rFonts w:ascii="標楷體" w:eastAsia="標楷體" w:hAnsi="標楷體" w:cs="標楷體"/>
              </w:rPr>
              <w:t>1</w:t>
            </w:r>
          </w:p>
        </w:tc>
      </w:tr>
      <w:tr w:rsidR="007B714E" w14:paraId="75475DEA" w14:textId="77777777">
        <w:trPr>
          <w:trHeight w:val="701"/>
        </w:trPr>
        <w:tc>
          <w:tcPr>
            <w:tcW w:w="750" w:type="dxa"/>
            <w:tcBorders>
              <w:top w:val="single" w:sz="12" w:space="0" w:color="000000"/>
              <w:left w:val="single" w:sz="12" w:space="0" w:color="000000"/>
              <w:bottom w:val="single" w:sz="12" w:space="0" w:color="000000"/>
              <w:right w:val="single" w:sz="12" w:space="0" w:color="000000"/>
            </w:tcBorders>
          </w:tcPr>
          <w:p w14:paraId="580F2972" w14:textId="77777777" w:rsidR="007B714E" w:rsidRDefault="00185C06">
            <w:pPr>
              <w:ind w:left="134" w:right="13"/>
              <w:jc w:val="center"/>
              <w:rPr>
                <w:rFonts w:ascii="標楷體" w:eastAsia="標楷體" w:hAnsi="標楷體" w:cs="標楷體"/>
              </w:rPr>
            </w:pPr>
            <w:r>
              <w:rPr>
                <w:rFonts w:ascii="標楷體" w:eastAsia="標楷體" w:hAnsi="標楷體" w:cs="標楷體"/>
              </w:rPr>
              <w:t>備註</w:t>
            </w:r>
            <w:r>
              <w:rPr>
                <w:rFonts w:ascii="標楷體" w:eastAsia="標楷體" w:hAnsi="標楷體" w:cs="標楷體"/>
              </w:rPr>
              <w:t xml:space="preserve"> </w:t>
            </w:r>
          </w:p>
        </w:tc>
        <w:tc>
          <w:tcPr>
            <w:tcW w:w="8670" w:type="dxa"/>
            <w:gridSpan w:val="4"/>
            <w:tcBorders>
              <w:top w:val="single" w:sz="12" w:space="0" w:color="000000"/>
              <w:left w:val="single" w:sz="12" w:space="0" w:color="000000"/>
              <w:bottom w:val="single" w:sz="12" w:space="0" w:color="000000"/>
              <w:right w:val="single" w:sz="12" w:space="0" w:color="000000"/>
            </w:tcBorders>
            <w:vAlign w:val="center"/>
          </w:tcPr>
          <w:p w14:paraId="58B5D9CC" w14:textId="77777777" w:rsidR="007B714E" w:rsidRDefault="00185C06">
            <w:pPr>
              <w:pBdr>
                <w:top w:val="nil"/>
                <w:left w:val="nil"/>
                <w:bottom w:val="nil"/>
                <w:right w:val="nil"/>
                <w:between w:val="nil"/>
              </w:pBdr>
              <w:rPr>
                <w:rFonts w:ascii="標楷體" w:eastAsia="標楷體" w:hAnsi="標楷體" w:cs="標楷體"/>
                <w:color w:val="000000"/>
              </w:rPr>
            </w:pPr>
            <w:r>
              <w:rPr>
                <w:rFonts w:ascii="標楷體" w:eastAsia="標楷體" w:hAnsi="標楷體" w:cs="標楷體"/>
              </w:rPr>
              <w:t>一、</w:t>
            </w:r>
            <w:r>
              <w:rPr>
                <w:rFonts w:ascii="標楷體" w:eastAsia="標楷體" w:hAnsi="標楷體" w:cs="標楷體"/>
                <w:color w:val="000000"/>
              </w:rPr>
              <w:t>保固及維修：</w:t>
            </w:r>
            <w:r>
              <w:rPr>
                <w:rFonts w:ascii="標楷體" w:eastAsia="標楷體" w:hAnsi="標楷體" w:cs="標楷體"/>
                <w:color w:val="000000"/>
              </w:rPr>
              <w:t xml:space="preserve"> </w:t>
            </w:r>
          </w:p>
          <w:p w14:paraId="537149B7" w14:textId="77777777" w:rsidR="007B714E" w:rsidRDefault="00185C06">
            <w:pPr>
              <w:numPr>
                <w:ilvl w:val="1"/>
                <w:numId w:val="4"/>
              </w:numPr>
              <w:pBdr>
                <w:top w:val="nil"/>
                <w:left w:val="nil"/>
                <w:bottom w:val="nil"/>
                <w:right w:val="nil"/>
                <w:between w:val="nil"/>
              </w:pBdr>
              <w:ind w:left="992" w:hanging="425"/>
              <w:rPr>
                <w:rFonts w:ascii="標楷體" w:eastAsia="標楷體" w:hAnsi="標楷體" w:cs="標楷體"/>
                <w:color w:val="000000"/>
              </w:rPr>
            </w:pPr>
            <w:r>
              <w:rPr>
                <w:rFonts w:ascii="標楷體" w:eastAsia="標楷體" w:hAnsi="標楷體" w:cs="標楷體"/>
              </w:rPr>
              <w:t>得標廠商須於全案驗收合格日之次日起提供全案</w:t>
            </w:r>
            <w:r>
              <w:rPr>
                <w:rFonts w:ascii="標楷體" w:eastAsia="標楷體" w:hAnsi="標楷體" w:cs="標楷體"/>
              </w:rPr>
              <w:t>5</w:t>
            </w:r>
            <w:r>
              <w:rPr>
                <w:rFonts w:ascii="標楷體" w:eastAsia="標楷體" w:hAnsi="標楷體" w:cs="標楷體"/>
              </w:rPr>
              <w:t>年之設備免費保固與維護。得標廠商應於交貨時提供保固切結書</w:t>
            </w:r>
            <w:r>
              <w:rPr>
                <w:rFonts w:ascii="標楷體" w:eastAsia="標楷體" w:hAnsi="標楷體" w:cs="標楷體"/>
                <w:color w:val="000000"/>
              </w:rPr>
              <w:t>。</w:t>
            </w:r>
          </w:p>
          <w:p w14:paraId="3C25CCD2" w14:textId="77777777" w:rsidR="007B714E" w:rsidRDefault="00185C06">
            <w:pPr>
              <w:numPr>
                <w:ilvl w:val="1"/>
                <w:numId w:val="4"/>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在保固期間內，設備在正常使用下之發生任何故障狀況，得標廠商均應負責維修或改善，並不得收取任何費用。</w:t>
            </w:r>
            <w:r>
              <w:rPr>
                <w:rFonts w:ascii="標楷體" w:eastAsia="標楷體" w:hAnsi="標楷體" w:cs="標楷體"/>
              </w:rPr>
              <w:t xml:space="preserve"> </w:t>
            </w:r>
          </w:p>
          <w:p w14:paraId="112F57E1" w14:textId="77777777" w:rsidR="007B714E" w:rsidRDefault="00185C06">
            <w:pPr>
              <w:numPr>
                <w:ilvl w:val="1"/>
                <w:numId w:val="4"/>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得標廠商於接獲本公司故障通知後，應在</w:t>
            </w:r>
            <w:r>
              <w:rPr>
                <w:rFonts w:ascii="標楷體" w:eastAsia="標楷體" w:hAnsi="標楷體" w:cs="標楷體"/>
              </w:rPr>
              <w:t xml:space="preserve"> 3</w:t>
            </w:r>
            <w:r>
              <w:rPr>
                <w:rFonts w:ascii="標楷體" w:eastAsia="標楷體" w:hAnsi="標楷體" w:cs="標楷體"/>
              </w:rPr>
              <w:t>小時內到本公司檢視或維修，並於</w:t>
            </w:r>
            <w:r>
              <w:rPr>
                <w:rFonts w:ascii="標楷體" w:eastAsia="標楷體" w:hAnsi="標楷體" w:cs="標楷體"/>
              </w:rPr>
              <w:t xml:space="preserve"> 24 </w:t>
            </w:r>
            <w:r>
              <w:rPr>
                <w:rFonts w:ascii="標楷體" w:eastAsia="標楷體" w:hAnsi="標楷體" w:cs="標楷體"/>
              </w:rPr>
              <w:t>小時內將故障排除</w:t>
            </w:r>
            <w:r>
              <w:rPr>
                <w:rFonts w:ascii="標楷體" w:eastAsia="標楷體" w:hAnsi="標楷體" w:cs="標楷體"/>
              </w:rPr>
              <w:t>(</w:t>
            </w:r>
            <w:r>
              <w:rPr>
                <w:rFonts w:ascii="標楷體" w:eastAsia="標楷體" w:hAnsi="標楷體" w:cs="標楷體"/>
              </w:rPr>
              <w:t>含假日與連假</w:t>
            </w:r>
            <w:r>
              <w:rPr>
                <w:rFonts w:ascii="標楷體" w:eastAsia="標楷體" w:hAnsi="標楷體" w:cs="標楷體"/>
              </w:rPr>
              <w:t>)</w:t>
            </w:r>
            <w:r>
              <w:rPr>
                <w:rFonts w:ascii="標楷體" w:eastAsia="標楷體" w:hAnsi="標楷體" w:cs="標楷體"/>
                <w:color w:val="000000"/>
              </w:rPr>
              <w:t>。</w:t>
            </w:r>
            <w:r>
              <w:rPr>
                <w:rFonts w:ascii="標楷體" w:eastAsia="標楷體" w:hAnsi="標楷體" w:cs="標楷體"/>
                <w:color w:val="000000"/>
              </w:rPr>
              <w:t xml:space="preserve"> </w:t>
            </w:r>
          </w:p>
          <w:p w14:paraId="604B0011" w14:textId="77777777" w:rsidR="007B714E" w:rsidRDefault="00185C06">
            <w:pPr>
              <w:numPr>
                <w:ilvl w:val="1"/>
                <w:numId w:val="4"/>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若得標廠商無法在上述時限排除故障，得標廠商應提供功能相同且經本公司認可之機器替代使用，直至故障排除為止。</w:t>
            </w:r>
          </w:p>
          <w:p w14:paraId="384E8842" w14:textId="77777777" w:rsidR="007B714E" w:rsidRDefault="00185C06">
            <w:pPr>
              <w:numPr>
                <w:ilvl w:val="1"/>
                <w:numId w:val="4"/>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保固之除外條款：不包括人為疏失損壞及天災地變不可抗力等因素。</w:t>
            </w:r>
          </w:p>
          <w:p w14:paraId="37CE1E06" w14:textId="77777777" w:rsidR="007B714E" w:rsidRDefault="00185C06">
            <w:pPr>
              <w:numPr>
                <w:ilvl w:val="1"/>
                <w:numId w:val="4"/>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得標廠商應保證自驗收合格日之次日起至少提供</w:t>
            </w:r>
            <w:r>
              <w:rPr>
                <w:rFonts w:ascii="標楷體" w:eastAsia="標楷體" w:hAnsi="標楷體" w:cs="標楷體"/>
              </w:rPr>
              <w:t>5</w:t>
            </w:r>
            <w:r>
              <w:rPr>
                <w:rFonts w:ascii="標楷體" w:eastAsia="標楷體" w:hAnsi="標楷體" w:cs="標楷體"/>
              </w:rPr>
              <w:t>年</w:t>
            </w:r>
            <w:r>
              <w:rPr>
                <w:rFonts w:ascii="標楷體" w:eastAsia="標楷體" w:hAnsi="標楷體" w:cs="標楷體"/>
              </w:rPr>
              <w:t>(</w:t>
            </w:r>
            <w:r>
              <w:rPr>
                <w:rFonts w:ascii="標楷體" w:eastAsia="標楷體" w:hAnsi="標楷體" w:cs="標楷體"/>
              </w:rPr>
              <w:t>含</w:t>
            </w:r>
            <w:r>
              <w:rPr>
                <w:rFonts w:ascii="標楷體" w:eastAsia="標楷體" w:hAnsi="標楷體" w:cs="標楷體"/>
              </w:rPr>
              <w:t>)</w:t>
            </w:r>
            <w:r>
              <w:rPr>
                <w:rFonts w:ascii="標楷體" w:eastAsia="標楷體" w:hAnsi="標楷體" w:cs="標楷體"/>
              </w:rPr>
              <w:t>之零件</w:t>
            </w:r>
            <w:r>
              <w:rPr>
                <w:rFonts w:ascii="標楷體" w:eastAsia="標楷體" w:hAnsi="標楷體" w:cs="標楷體"/>
              </w:rPr>
              <w:t>(</w:t>
            </w:r>
            <w:r>
              <w:rPr>
                <w:rFonts w:ascii="標楷體" w:eastAsia="標楷體" w:hAnsi="標楷體" w:cs="標楷體"/>
              </w:rPr>
              <w:t>或相同功能之可替代性零件</w:t>
            </w:r>
            <w:r>
              <w:rPr>
                <w:rFonts w:ascii="標楷體" w:eastAsia="標楷體" w:hAnsi="標楷體" w:cs="標楷體"/>
              </w:rPr>
              <w:t>)</w:t>
            </w:r>
            <w:r>
              <w:rPr>
                <w:rFonts w:ascii="標楷體" w:eastAsia="標楷體" w:hAnsi="標楷體" w:cs="標楷體"/>
              </w:rPr>
              <w:t>充足供應、不得提供</w:t>
            </w:r>
            <w:r>
              <w:rPr>
                <w:rFonts w:ascii="標楷體" w:eastAsia="標楷體" w:hAnsi="標楷體" w:cs="標楷體"/>
              </w:rPr>
              <w:t>5</w:t>
            </w:r>
            <w:r>
              <w:rPr>
                <w:rFonts w:ascii="標楷體" w:eastAsia="標楷體" w:hAnsi="標楷體" w:cs="標楷體"/>
              </w:rPr>
              <w:t>年內</w:t>
            </w:r>
            <w:r>
              <w:rPr>
                <w:rFonts w:ascii="標楷體" w:eastAsia="標楷體" w:hAnsi="標楷體" w:cs="標楷體"/>
              </w:rPr>
              <w:t>EOS</w:t>
            </w:r>
            <w:r>
              <w:rPr>
                <w:rFonts w:ascii="標楷體" w:eastAsia="標楷體" w:hAnsi="標楷體" w:cs="標楷體"/>
              </w:rPr>
              <w:t>產品</w:t>
            </w:r>
          </w:p>
          <w:p w14:paraId="7962A20B" w14:textId="77777777" w:rsidR="007B714E" w:rsidRDefault="00185C06">
            <w:pPr>
              <w:pBdr>
                <w:top w:val="nil"/>
                <w:left w:val="nil"/>
                <w:bottom w:val="nil"/>
                <w:right w:val="nil"/>
                <w:between w:val="nil"/>
              </w:pBdr>
              <w:ind w:left="566" w:hanging="566"/>
              <w:rPr>
                <w:rFonts w:ascii="標楷體" w:eastAsia="標楷體" w:hAnsi="標楷體" w:cs="標楷體"/>
                <w:color w:val="000000"/>
              </w:rPr>
            </w:pPr>
            <w:r>
              <w:rPr>
                <w:rFonts w:ascii="標楷體" w:eastAsia="標楷體" w:hAnsi="標楷體" w:cs="標楷體"/>
              </w:rPr>
              <w:t>二、交貨時應檢附下列文件</w:t>
            </w:r>
            <w:r>
              <w:rPr>
                <w:rFonts w:ascii="標楷體" w:eastAsia="標楷體" w:hAnsi="標楷體" w:cs="標楷體"/>
              </w:rPr>
              <w:t>:</w:t>
            </w:r>
            <w:r>
              <w:rPr>
                <w:rFonts w:ascii="標楷體" w:eastAsia="標楷體" w:hAnsi="標楷體" w:cs="標楷體"/>
              </w:rPr>
              <w:t>台灣地區原廠出具之出廠證明、新品證明、保固證明，設備如係進口貨則應另附海關進口證明文件</w:t>
            </w:r>
            <w:r>
              <w:rPr>
                <w:rFonts w:ascii="標楷體" w:eastAsia="標楷體" w:hAnsi="標楷體" w:cs="標楷體"/>
              </w:rPr>
              <w:t>(</w:t>
            </w:r>
            <w:r>
              <w:rPr>
                <w:rFonts w:ascii="標楷體" w:eastAsia="標楷體" w:hAnsi="標楷體" w:cs="標楷體"/>
              </w:rPr>
              <w:t>進口報單</w:t>
            </w:r>
            <w:r>
              <w:rPr>
                <w:rFonts w:ascii="標楷體" w:eastAsia="標楷體" w:hAnsi="標楷體" w:cs="標楷體"/>
              </w:rPr>
              <w:t>)</w:t>
            </w:r>
            <w:r>
              <w:rPr>
                <w:rFonts w:ascii="標楷體" w:eastAsia="標楷體" w:hAnsi="標楷體" w:cs="標楷體"/>
                <w:color w:val="000000"/>
              </w:rPr>
              <w:t>。</w:t>
            </w:r>
            <w:r>
              <w:rPr>
                <w:rFonts w:ascii="標楷體" w:eastAsia="標楷體" w:hAnsi="標楷體" w:cs="標楷體"/>
                <w:color w:val="000000"/>
              </w:rPr>
              <w:t xml:space="preserve"> </w:t>
            </w:r>
          </w:p>
          <w:p w14:paraId="57EF8657" w14:textId="77777777" w:rsidR="007B714E" w:rsidRDefault="00185C06">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三、硬體</w:t>
            </w:r>
            <w:r>
              <w:rPr>
                <w:rFonts w:ascii="標楷體" w:eastAsia="標楷體" w:hAnsi="標楷體" w:cs="標楷體"/>
              </w:rPr>
              <w:t>5</w:t>
            </w:r>
            <w:r>
              <w:rPr>
                <w:rFonts w:ascii="標楷體" w:eastAsia="標楷體" w:hAnsi="標楷體" w:cs="標楷體"/>
              </w:rPr>
              <w:t>年免費保固與維護之保固切結書。</w:t>
            </w:r>
            <w:r>
              <w:rPr>
                <w:rFonts w:ascii="標楷體" w:eastAsia="標楷體" w:hAnsi="標楷體" w:cs="標楷體"/>
              </w:rPr>
              <w:t xml:space="preserve"> </w:t>
            </w:r>
          </w:p>
          <w:p w14:paraId="1B01ABAC" w14:textId="77777777" w:rsidR="007B714E" w:rsidRDefault="00185C06">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四、提供本案系統設備之完整接線圖、系統整合圖、工作流程圖、各項設備整體運作測試報告及所有維護管理手冊。</w:t>
            </w:r>
            <w:r>
              <w:rPr>
                <w:rFonts w:ascii="標楷體" w:eastAsia="標楷體" w:hAnsi="標楷體" w:cs="標楷體"/>
              </w:rPr>
              <w:t xml:space="preserve"> </w:t>
            </w:r>
          </w:p>
          <w:p w14:paraId="2A23A6D3" w14:textId="77777777" w:rsidR="007B714E" w:rsidRDefault="00185C06">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lastRenderedPageBreak/>
              <w:t>五、相關軟體之合法授權證明文件、原廠授權貼紙。</w:t>
            </w:r>
          </w:p>
          <w:p w14:paraId="34C3AF1D" w14:textId="77777777" w:rsidR="007B714E" w:rsidRDefault="00185C06">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六、教育訓練資料。</w:t>
            </w:r>
          </w:p>
          <w:p w14:paraId="5221C9CB" w14:textId="77777777" w:rsidR="007B714E" w:rsidRDefault="00185C06">
            <w:pPr>
              <w:pBdr>
                <w:top w:val="nil"/>
                <w:left w:val="nil"/>
                <w:bottom w:val="nil"/>
                <w:right w:val="nil"/>
                <w:between w:val="nil"/>
              </w:pBdr>
              <w:ind w:left="566" w:hanging="566"/>
              <w:rPr>
                <w:rFonts w:ascii="標楷體" w:eastAsia="標楷體" w:hAnsi="標楷體" w:cs="標楷體"/>
                <w:color w:val="000000"/>
              </w:rPr>
            </w:pPr>
            <w:r>
              <w:rPr>
                <w:rFonts w:ascii="標楷體" w:eastAsia="標楷體" w:hAnsi="標楷體" w:cs="標楷體"/>
              </w:rPr>
              <w:t>七、相關實體網路線材佈線及設備安裝設定需按照客戶原需求施作</w:t>
            </w:r>
            <w:r>
              <w:rPr>
                <w:rFonts w:ascii="標楷體" w:eastAsia="標楷體" w:hAnsi="標楷體" w:cs="標楷體"/>
                <w:color w:val="000000"/>
              </w:rPr>
              <w:t>。</w:t>
            </w:r>
            <w:r>
              <w:rPr>
                <w:rFonts w:ascii="標楷體" w:eastAsia="標楷體" w:hAnsi="標楷體" w:cs="標楷體"/>
                <w:color w:val="000000"/>
              </w:rPr>
              <w:t xml:space="preserve"> </w:t>
            </w:r>
          </w:p>
        </w:tc>
      </w:tr>
    </w:tbl>
    <w:p w14:paraId="4DEACCCC" w14:textId="77777777" w:rsidR="007B714E" w:rsidRDefault="007B714E">
      <w:pPr>
        <w:spacing w:after="60"/>
        <w:ind w:right="2014"/>
        <w:rPr>
          <w:rFonts w:ascii="標楷體" w:eastAsia="標楷體" w:hAnsi="標楷體" w:cs="標楷體"/>
        </w:rPr>
      </w:pPr>
    </w:p>
    <w:p w14:paraId="43BF9270" w14:textId="77777777" w:rsidR="007B714E" w:rsidRDefault="00185C06">
      <w:pPr>
        <w:ind w:right="2014"/>
        <w:rPr>
          <w:rFonts w:ascii="標楷體" w:eastAsia="標楷體" w:hAnsi="標楷體" w:cs="標楷體"/>
        </w:rPr>
      </w:pPr>
      <w:r>
        <w:rPr>
          <w:rFonts w:ascii="標楷體" w:eastAsia="標楷體" w:hAnsi="標楷體" w:cs="標楷體"/>
        </w:rPr>
        <w:t>投標廠商用印處</w:t>
      </w:r>
      <w:r>
        <w:rPr>
          <w:rFonts w:ascii="標楷體" w:eastAsia="標楷體" w:hAnsi="標楷體" w:cs="標楷體"/>
        </w:rPr>
        <w:t xml:space="preserve">  </w:t>
      </w:r>
    </w:p>
    <w:p w14:paraId="2761B4D8" w14:textId="77777777" w:rsidR="007B714E" w:rsidRDefault="00185C06">
      <w:pPr>
        <w:spacing w:line="400" w:lineRule="auto"/>
        <w:rPr>
          <w:rFonts w:ascii="標楷體" w:eastAsia="標楷體" w:hAnsi="標楷體" w:cs="標楷體"/>
        </w:rPr>
      </w:pPr>
      <w:r>
        <w:rPr>
          <w:rFonts w:ascii="標楷體" w:eastAsia="標楷體" w:hAnsi="標楷體" w:cs="標楷體"/>
        </w:rPr>
        <w:t>廠</w:t>
      </w:r>
      <w:r>
        <w:rPr>
          <w:rFonts w:ascii="標楷體" w:eastAsia="標楷體" w:hAnsi="標楷體" w:cs="標楷體"/>
        </w:rPr>
        <w:t xml:space="preserve">    </w:t>
      </w:r>
      <w:r>
        <w:rPr>
          <w:rFonts w:ascii="標楷體" w:eastAsia="標楷體" w:hAnsi="標楷體" w:cs="標楷體"/>
        </w:rPr>
        <w:t>商</w:t>
      </w:r>
      <w:r>
        <w:rPr>
          <w:rFonts w:ascii="標楷體" w:eastAsia="標楷體" w:hAnsi="標楷體" w:cs="標楷體"/>
        </w:rPr>
        <w:t>(</w:t>
      </w:r>
      <w:r>
        <w:rPr>
          <w:rFonts w:ascii="標楷體" w:eastAsia="標楷體" w:hAnsi="標楷體" w:cs="標楷體"/>
        </w:rPr>
        <w:t>蓋公司章</w:t>
      </w:r>
      <w:r>
        <w:rPr>
          <w:rFonts w:ascii="標楷體" w:eastAsia="標楷體" w:hAnsi="標楷體" w:cs="標楷體"/>
        </w:rPr>
        <w:t>)</w:t>
      </w:r>
      <w:r>
        <w:rPr>
          <w:rFonts w:ascii="標楷體" w:eastAsia="標楷體" w:hAnsi="標楷體" w:cs="標楷體"/>
        </w:rPr>
        <w:t>：</w:t>
      </w:r>
    </w:p>
    <w:p w14:paraId="6A639A5B" w14:textId="77777777" w:rsidR="007B714E" w:rsidRDefault="007B714E">
      <w:pPr>
        <w:spacing w:line="400" w:lineRule="auto"/>
        <w:rPr>
          <w:rFonts w:ascii="標楷體" w:eastAsia="標楷體" w:hAnsi="標楷體" w:cs="標楷體"/>
        </w:rPr>
      </w:pPr>
    </w:p>
    <w:p w14:paraId="0A2597BD" w14:textId="77777777" w:rsidR="007B714E" w:rsidRDefault="00185C06">
      <w:pPr>
        <w:ind w:right="2014"/>
        <w:rPr>
          <w:rFonts w:ascii="標楷體" w:eastAsia="標楷體" w:hAnsi="標楷體" w:cs="標楷體"/>
        </w:rPr>
      </w:pPr>
      <w:r>
        <w:rPr>
          <w:rFonts w:ascii="標楷體" w:eastAsia="標楷體" w:hAnsi="標楷體" w:cs="標楷體"/>
        </w:rPr>
        <w:t>負</w:t>
      </w:r>
      <w:r>
        <w:rPr>
          <w:rFonts w:ascii="標楷體" w:eastAsia="標楷體" w:hAnsi="標楷體" w:cs="標楷體"/>
        </w:rPr>
        <w:t xml:space="preserve"> </w:t>
      </w:r>
      <w:r>
        <w:rPr>
          <w:rFonts w:ascii="標楷體" w:eastAsia="標楷體" w:hAnsi="標楷體" w:cs="標楷體"/>
        </w:rPr>
        <w:t>責</w:t>
      </w:r>
      <w:r>
        <w:rPr>
          <w:rFonts w:ascii="標楷體" w:eastAsia="標楷體" w:hAnsi="標楷體" w:cs="標楷體"/>
        </w:rPr>
        <w:t xml:space="preserve"> </w:t>
      </w:r>
      <w:r>
        <w:rPr>
          <w:rFonts w:ascii="標楷體" w:eastAsia="標楷體" w:hAnsi="標楷體" w:cs="標楷體"/>
        </w:rPr>
        <w:t>人</w:t>
      </w:r>
      <w:r>
        <w:rPr>
          <w:rFonts w:ascii="標楷體" w:eastAsia="標楷體" w:hAnsi="標楷體" w:cs="標楷體"/>
        </w:rPr>
        <w:t>(</w:t>
      </w:r>
      <w:r>
        <w:rPr>
          <w:rFonts w:ascii="標楷體" w:eastAsia="標楷體" w:hAnsi="標楷體" w:cs="標楷體"/>
        </w:rPr>
        <w:t>加蓋印章</w:t>
      </w:r>
      <w:r>
        <w:rPr>
          <w:rFonts w:ascii="標楷體" w:eastAsia="標楷體" w:hAnsi="標楷體" w:cs="標楷體"/>
        </w:rPr>
        <w:t>)</w:t>
      </w:r>
      <w:r>
        <w:rPr>
          <w:rFonts w:ascii="標楷體" w:eastAsia="標楷體" w:hAnsi="標楷體" w:cs="標楷體"/>
        </w:rPr>
        <w:t>：</w:t>
      </w:r>
    </w:p>
    <w:p w14:paraId="5F3AD8BE" w14:textId="77777777" w:rsidR="007B714E" w:rsidRDefault="00185C06">
      <w:pPr>
        <w:ind w:left="1487"/>
        <w:rPr>
          <w:rFonts w:ascii="標楷體" w:eastAsia="標楷體" w:hAnsi="標楷體" w:cs="標楷體"/>
        </w:rPr>
      </w:pPr>
      <w:r>
        <w:rPr>
          <w:rFonts w:ascii="標楷體" w:eastAsia="標楷體" w:hAnsi="標楷體" w:cs="標楷體"/>
        </w:rPr>
        <w:t xml:space="preserve">                                    </w:t>
      </w:r>
      <w:r>
        <w:rPr>
          <w:rFonts w:ascii="標楷體" w:eastAsia="標楷體" w:hAnsi="標楷體" w:cs="標楷體"/>
        </w:rPr>
        <w:t>年</w:t>
      </w:r>
      <w:r>
        <w:rPr>
          <w:rFonts w:ascii="標楷體" w:eastAsia="標楷體" w:hAnsi="標楷體" w:cs="標楷體"/>
        </w:rPr>
        <w:t xml:space="preserve">    </w:t>
      </w:r>
      <w:r>
        <w:rPr>
          <w:rFonts w:ascii="標楷體" w:eastAsia="標楷體" w:hAnsi="標楷體" w:cs="標楷體"/>
        </w:rPr>
        <w:t>月</w:t>
      </w:r>
      <w:r>
        <w:rPr>
          <w:rFonts w:ascii="標楷體" w:eastAsia="標楷體" w:hAnsi="標楷體" w:cs="標楷體"/>
        </w:rPr>
        <w:t xml:space="preserve">    </w:t>
      </w:r>
      <w:r>
        <w:rPr>
          <w:rFonts w:ascii="標楷體" w:eastAsia="標楷體" w:hAnsi="標楷體" w:cs="標楷體"/>
        </w:rPr>
        <w:t>日</w:t>
      </w:r>
      <w:r>
        <w:rPr>
          <w:rFonts w:ascii="標楷體" w:eastAsia="標楷體" w:hAnsi="標楷體" w:cs="標楷體"/>
        </w:rPr>
        <w:t xml:space="preserve">  </w:t>
      </w:r>
    </w:p>
    <w:p w14:paraId="6F99DBDE" w14:textId="77777777" w:rsidR="007B714E" w:rsidRDefault="007B714E">
      <w:pPr>
        <w:widowControl/>
        <w:jc w:val="center"/>
        <w:rPr>
          <w:rFonts w:ascii="標楷體" w:eastAsia="標楷體" w:hAnsi="標楷體" w:cs="標楷體"/>
          <w:b/>
        </w:rPr>
      </w:pPr>
    </w:p>
    <w:sectPr w:rsidR="007B714E">
      <w:footerReference w:type="default" r:id="rId8"/>
      <w:footerReference w:type="first" r:id="rId9"/>
      <w:pgSz w:w="11906" w:h="16838"/>
      <w:pgMar w:top="1440" w:right="1800" w:bottom="1440" w:left="1800" w:header="851" w:footer="99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BE179" w14:textId="77777777" w:rsidR="00185C06" w:rsidRDefault="00185C06">
      <w:r>
        <w:separator/>
      </w:r>
    </w:p>
  </w:endnote>
  <w:endnote w:type="continuationSeparator" w:id="0">
    <w:p w14:paraId="5CF2877A" w14:textId="77777777" w:rsidR="00185C06" w:rsidRDefault="00185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B9BCC" w14:textId="553A666B" w:rsidR="007B714E" w:rsidRDefault="00185C06">
    <w:pPr>
      <w:pBdr>
        <w:top w:val="nil"/>
        <w:left w:val="nil"/>
        <w:bottom w:val="nil"/>
        <w:right w:val="nil"/>
        <w:between w:val="nil"/>
      </w:pBdr>
      <w:tabs>
        <w:tab w:val="center" w:pos="4153"/>
        <w:tab w:val="right" w:pos="8306"/>
      </w:tabs>
      <w:jc w:val="right"/>
      <w:rPr>
        <w:color w:val="000000"/>
        <w:sz w:val="20"/>
        <w:szCs w:val="20"/>
      </w:rPr>
    </w:pPr>
    <w:r>
      <w:rPr>
        <w:color w:val="000000"/>
        <w:sz w:val="20"/>
        <w:szCs w:val="20"/>
      </w:rPr>
      <w:t>P</w:t>
    </w:r>
    <w:r>
      <w:rPr>
        <w:color w:val="000000"/>
        <w:sz w:val="20"/>
        <w:szCs w:val="20"/>
      </w:rPr>
      <w:fldChar w:fldCharType="begin"/>
    </w:r>
    <w:r>
      <w:rPr>
        <w:color w:val="000000"/>
        <w:sz w:val="20"/>
        <w:szCs w:val="20"/>
      </w:rPr>
      <w:instrText>PAGE</w:instrText>
    </w:r>
    <w:r>
      <w:rPr>
        <w:color w:val="000000"/>
        <w:sz w:val="20"/>
        <w:szCs w:val="20"/>
      </w:rPr>
      <w:fldChar w:fldCharType="separate"/>
    </w:r>
    <w:r w:rsidR="00675D79">
      <w:rPr>
        <w:noProof/>
        <w:color w:val="000000"/>
        <w:sz w:val="20"/>
        <w:szCs w:val="20"/>
      </w:rPr>
      <w:t>2</w:t>
    </w:r>
    <w:r>
      <w:rPr>
        <w:color w:val="000000"/>
        <w:sz w:val="20"/>
        <w:szCs w:val="20"/>
      </w:rPr>
      <w:fldChar w:fldCharType="end"/>
    </w:r>
  </w:p>
  <w:p w14:paraId="3EA4A691" w14:textId="77777777" w:rsidR="007B714E" w:rsidRDefault="007B714E">
    <w:pPr>
      <w:pBdr>
        <w:top w:val="nil"/>
        <w:left w:val="nil"/>
        <w:bottom w:val="nil"/>
        <w:right w:val="nil"/>
        <w:between w:val="nil"/>
      </w:pBdr>
      <w:tabs>
        <w:tab w:val="center" w:pos="4153"/>
        <w:tab w:val="right" w:pos="8306"/>
      </w:tabs>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D3A68" w14:textId="77777777" w:rsidR="007B714E" w:rsidRDefault="00185C06">
    <w:pPr>
      <w:pBdr>
        <w:top w:val="nil"/>
        <w:left w:val="nil"/>
        <w:bottom w:val="nil"/>
        <w:right w:val="nil"/>
        <w:between w:val="nil"/>
      </w:pBdr>
      <w:tabs>
        <w:tab w:val="center" w:pos="4153"/>
        <w:tab w:val="right" w:pos="8306"/>
      </w:tabs>
      <w:jc w:val="right"/>
      <w:rPr>
        <w:color w:val="000000"/>
        <w:sz w:val="20"/>
        <w:szCs w:val="20"/>
      </w:rPr>
    </w:pPr>
    <w:r>
      <w:rPr>
        <w:color w:val="000000"/>
        <w:sz w:val="20"/>
        <w:szCs w:val="20"/>
      </w:rPr>
      <w:t>P</w:t>
    </w:r>
    <w:r>
      <w:rPr>
        <w:color w:val="000000"/>
        <w:sz w:val="20"/>
        <w:szCs w:val="20"/>
      </w:rPr>
      <w:fldChar w:fldCharType="begin"/>
    </w:r>
    <w:r>
      <w:rPr>
        <w:color w:val="000000"/>
        <w:sz w:val="20"/>
        <w:szCs w:val="20"/>
      </w:rPr>
      <w:instrText>PAGE</w:instrText>
    </w:r>
    <w:r>
      <w:rPr>
        <w:color w:val="000000"/>
        <w:sz w:val="20"/>
        <w:szCs w:val="20"/>
      </w:rPr>
      <w:fldChar w:fldCharType="separate"/>
    </w:r>
    <w:r w:rsidR="00675D79">
      <w:rPr>
        <w:noProof/>
        <w:color w:val="000000"/>
        <w:sz w:val="20"/>
        <w:szCs w:val="20"/>
      </w:rPr>
      <w:t>1</w:t>
    </w:r>
    <w:r>
      <w:rPr>
        <w:color w:val="000000"/>
        <w:sz w:val="20"/>
        <w:szCs w:val="20"/>
      </w:rPr>
      <w:fldChar w:fldCharType="end"/>
    </w:r>
  </w:p>
  <w:p w14:paraId="3AA68332" w14:textId="77777777" w:rsidR="007B714E" w:rsidRDefault="007B714E">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2F522" w14:textId="77777777" w:rsidR="00185C06" w:rsidRDefault="00185C06">
      <w:r>
        <w:separator/>
      </w:r>
    </w:p>
  </w:footnote>
  <w:footnote w:type="continuationSeparator" w:id="0">
    <w:p w14:paraId="3812706B" w14:textId="77777777" w:rsidR="00185C06" w:rsidRDefault="00185C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538C3"/>
    <w:multiLevelType w:val="multilevel"/>
    <w:tmpl w:val="BC161BE0"/>
    <w:lvl w:ilvl="0">
      <w:start w:val="1"/>
      <w:numFmt w:val="decimal"/>
      <w:lvlText w:val="%1、"/>
      <w:lvlJc w:val="left"/>
      <w:pPr>
        <w:ind w:left="567" w:hanging="567"/>
      </w:pPr>
      <w:rPr>
        <w:rFonts w:ascii="Times New Roman" w:eastAsia="Times New Roman" w:hAnsi="Times New Roman" w:cs="Times New Roman"/>
        <w:b w:val="0"/>
        <w:i w:val="0"/>
        <w:smallCaps w:val="0"/>
        <w:strike w:val="0"/>
        <w:color w:val="000000"/>
        <w:sz w:val="22"/>
        <w:szCs w:val="22"/>
        <w:u w:val="none"/>
        <w:vertAlign w:val="baseline"/>
      </w:rPr>
    </w:lvl>
    <w:lvl w:ilvl="1">
      <w:start w:val="1"/>
      <w:numFmt w:val="decimal"/>
      <w:lvlText w:val="%2、"/>
      <w:lvlJc w:val="left"/>
      <w:pPr>
        <w:ind w:left="907" w:hanging="340"/>
      </w:pPr>
      <w:rPr>
        <w:b w:val="0"/>
        <w:i w:val="0"/>
        <w:sz w:val="28"/>
        <w:szCs w:val="28"/>
      </w:rPr>
    </w:lvl>
    <w:lvl w:ilvl="2">
      <w:start w:val="1"/>
      <w:numFmt w:val="decimal"/>
      <w:lvlText w:val="%2-%3、"/>
      <w:lvlJc w:val="left"/>
      <w:pPr>
        <w:ind w:left="1418" w:hanging="454"/>
      </w:pPr>
    </w:lvl>
    <w:lvl w:ilvl="3">
      <w:start w:val="1"/>
      <w:numFmt w:val="decimal"/>
      <w:lvlText w:val="%2-%3-%4、"/>
      <w:lvlJc w:val="left"/>
      <w:pPr>
        <w:ind w:left="1928" w:hanging="510"/>
      </w:pPr>
    </w:lvl>
    <w:lvl w:ilvl="4">
      <w:start w:val="1"/>
      <w:numFmt w:val="decimal"/>
      <w:lvlText w:val="%1.%2.%3.%4.%5"/>
      <w:lvlJc w:val="left"/>
      <w:pPr>
        <w:ind w:left="2835" w:hanging="567"/>
      </w:pPr>
    </w:lvl>
    <w:lvl w:ilvl="5">
      <w:start w:val="1"/>
      <w:numFmt w:val="decimal"/>
      <w:lvlText w:val="%1.%2.%3.%4.%5.%6"/>
      <w:lvlJc w:val="left"/>
      <w:pPr>
        <w:ind w:left="3402" w:hanging="567"/>
      </w:pPr>
    </w:lvl>
    <w:lvl w:ilvl="6">
      <w:start w:val="1"/>
      <w:numFmt w:val="decimal"/>
      <w:lvlText w:val="%1.%2.%3.%4.%5.%6.%7"/>
      <w:lvlJc w:val="left"/>
      <w:pPr>
        <w:ind w:left="3969" w:hanging="567"/>
      </w:pPr>
    </w:lvl>
    <w:lvl w:ilvl="7">
      <w:start w:val="1"/>
      <w:numFmt w:val="decimal"/>
      <w:lvlText w:val="%1.%2.%3.%4.%5.%6.%7.%8"/>
      <w:lvlJc w:val="left"/>
      <w:pPr>
        <w:ind w:left="4536" w:hanging="566"/>
      </w:pPr>
    </w:lvl>
    <w:lvl w:ilvl="8">
      <w:start w:val="1"/>
      <w:numFmt w:val="decimal"/>
      <w:lvlText w:val="%1.%2.%3.%4.%5.%6.%7.%8.%9"/>
      <w:lvlJc w:val="left"/>
      <w:pPr>
        <w:ind w:left="5103" w:hanging="567"/>
      </w:pPr>
    </w:lvl>
  </w:abstractNum>
  <w:abstractNum w:abstractNumId="1" w15:restartNumberingAfterBreak="0">
    <w:nsid w:val="223050EC"/>
    <w:multiLevelType w:val="multilevel"/>
    <w:tmpl w:val="5B0662C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4E9156D1"/>
    <w:multiLevelType w:val="multilevel"/>
    <w:tmpl w:val="B6623C6A"/>
    <w:lvl w:ilvl="0">
      <w:start w:val="1"/>
      <w:numFmt w:val="decimal"/>
      <w:pStyle w:val="a"/>
      <w:lvlText w:val="%1."/>
      <w:lvlJc w:val="left"/>
      <w:pPr>
        <w:ind w:left="480" w:hanging="480"/>
      </w:pPr>
    </w:lvl>
    <w:lvl w:ilvl="1">
      <w:start w:val="1"/>
      <w:numFmt w:val="decimal"/>
      <w:pStyle w:val="a0"/>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527F1B52"/>
    <w:multiLevelType w:val="multilevel"/>
    <w:tmpl w:val="AC56DD5A"/>
    <w:lvl w:ilvl="0">
      <w:start w:val="1"/>
      <w:numFmt w:val="decimal"/>
      <w:lvlText w:val="(%1)"/>
      <w:lvlJc w:val="left"/>
      <w:pPr>
        <w:ind w:left="1440" w:hanging="480"/>
      </w:pPr>
    </w:lvl>
    <w:lvl w:ilvl="1">
      <w:start w:val="1"/>
      <w:numFmt w:val="decim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decim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decimal"/>
      <w:lvlText w:val="%8、"/>
      <w:lvlJc w:val="left"/>
      <w:pPr>
        <w:ind w:left="4800" w:hanging="480"/>
      </w:pPr>
    </w:lvl>
    <w:lvl w:ilvl="8">
      <w:start w:val="1"/>
      <w:numFmt w:val="lowerRoman"/>
      <w:lvlText w:val="%9."/>
      <w:lvlJc w:val="right"/>
      <w:pPr>
        <w:ind w:left="5280" w:hanging="4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14E"/>
    <w:rsid w:val="00185C06"/>
    <w:rsid w:val="00675D79"/>
    <w:rsid w:val="007B71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B1D93"/>
  <w15:docId w15:val="{5F836ECE-E0A1-4213-8964-88436A46E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D7BA7"/>
    <w:rPr>
      <w:kern w:val="2"/>
      <w:szCs w:val="22"/>
    </w:rPr>
  </w:style>
  <w:style w:type="paragraph" w:styleId="1">
    <w:name w:val="heading 1"/>
    <w:basedOn w:val="a1"/>
    <w:next w:val="a1"/>
    <w:link w:val="10"/>
    <w:uiPriority w:val="9"/>
    <w:qFormat/>
    <w:rsid w:val="00C6793B"/>
    <w:pPr>
      <w:keepNext/>
      <w:spacing w:before="180" w:after="180" w:line="720" w:lineRule="auto"/>
      <w:outlineLvl w:val="0"/>
    </w:pPr>
    <w:rPr>
      <w:rFonts w:ascii="Calibri Light" w:hAnsi="Calibri Light"/>
      <w:b/>
      <w:bCs/>
      <w:kern w:val="52"/>
      <w:sz w:val="52"/>
      <w:szCs w:val="52"/>
    </w:rPr>
  </w:style>
  <w:style w:type="paragraph" w:styleId="2">
    <w:name w:val="heading 2"/>
    <w:basedOn w:val="a1"/>
    <w:next w:val="a1"/>
    <w:link w:val="20"/>
    <w:uiPriority w:val="9"/>
    <w:semiHidden/>
    <w:unhideWhenUsed/>
    <w:qFormat/>
    <w:rsid w:val="008972CC"/>
    <w:pPr>
      <w:keepNext/>
      <w:spacing w:line="720" w:lineRule="auto"/>
      <w:outlineLvl w:val="1"/>
    </w:pPr>
    <w:rPr>
      <w:rFonts w:ascii="Calibri Light" w:hAnsi="Calibri Light"/>
      <w:b/>
      <w:bCs/>
      <w:sz w:val="48"/>
      <w:szCs w:val="48"/>
    </w:rPr>
  </w:style>
  <w:style w:type="paragraph" w:styleId="3">
    <w:name w:val="heading 3"/>
    <w:basedOn w:val="a1"/>
    <w:next w:val="a1"/>
    <w:uiPriority w:val="9"/>
    <w:semiHidden/>
    <w:unhideWhenUsed/>
    <w:qFormat/>
    <w:pPr>
      <w:keepNext/>
      <w:keepLines/>
      <w:spacing w:before="280" w:after="80"/>
      <w:outlineLvl w:val="2"/>
    </w:pPr>
    <w:rPr>
      <w:b/>
      <w:sz w:val="28"/>
      <w:szCs w:val="28"/>
    </w:rPr>
  </w:style>
  <w:style w:type="paragraph" w:styleId="4">
    <w:name w:val="heading 4"/>
    <w:basedOn w:val="a1"/>
    <w:next w:val="a1"/>
    <w:uiPriority w:val="9"/>
    <w:semiHidden/>
    <w:unhideWhenUsed/>
    <w:qFormat/>
    <w:pPr>
      <w:keepNext/>
      <w:keepLines/>
      <w:spacing w:before="240" w:after="40"/>
      <w:outlineLvl w:val="3"/>
    </w:pPr>
    <w:rPr>
      <w:b/>
      <w:szCs w:val="24"/>
    </w:rPr>
  </w:style>
  <w:style w:type="paragraph" w:styleId="5">
    <w:name w:val="heading 5"/>
    <w:basedOn w:val="a1"/>
    <w:next w:val="a1"/>
    <w:uiPriority w:val="9"/>
    <w:semiHidden/>
    <w:unhideWhenUsed/>
    <w:qFormat/>
    <w:pPr>
      <w:keepNext/>
      <w:keepLines/>
      <w:spacing w:before="220" w:after="40"/>
      <w:outlineLvl w:val="4"/>
    </w:pPr>
    <w:rPr>
      <w:b/>
      <w:sz w:val="22"/>
    </w:rPr>
  </w:style>
  <w:style w:type="paragraph" w:styleId="6">
    <w:name w:val="heading 6"/>
    <w:basedOn w:val="a1"/>
    <w:next w:val="a1"/>
    <w:uiPriority w:val="9"/>
    <w:semiHidden/>
    <w:unhideWhenUsed/>
    <w:qFormat/>
    <w:pPr>
      <w:keepNext/>
      <w:keepLines/>
      <w:spacing w:before="200" w:after="40"/>
      <w:outlineLvl w:val="5"/>
    </w:pPr>
    <w:rPr>
      <w:b/>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1"/>
    <w:next w:val="a1"/>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10">
    <w:name w:val="標題 1 字元"/>
    <w:link w:val="1"/>
    <w:uiPriority w:val="99"/>
    <w:locked/>
    <w:rsid w:val="00C6793B"/>
    <w:rPr>
      <w:rFonts w:ascii="Calibri Light" w:eastAsia="新細明體" w:hAnsi="Calibri Light" w:cs="Times New Roman"/>
      <w:b/>
      <w:bCs/>
      <w:kern w:val="52"/>
      <w:sz w:val="52"/>
      <w:szCs w:val="52"/>
    </w:rPr>
  </w:style>
  <w:style w:type="character" w:customStyle="1" w:styleId="20">
    <w:name w:val="標題 2 字元"/>
    <w:link w:val="2"/>
    <w:uiPriority w:val="99"/>
    <w:locked/>
    <w:rsid w:val="008972CC"/>
    <w:rPr>
      <w:rFonts w:ascii="Calibri Light" w:eastAsia="新細明體" w:hAnsi="Calibri Light" w:cs="Times New Roman"/>
      <w:b/>
      <w:bCs/>
      <w:sz w:val="48"/>
      <w:szCs w:val="48"/>
    </w:rPr>
  </w:style>
  <w:style w:type="paragraph" w:customStyle="1" w:styleId="Default">
    <w:name w:val="Default"/>
    <w:uiPriority w:val="99"/>
    <w:rsid w:val="00BE03E8"/>
    <w:pPr>
      <w:autoSpaceDE w:val="0"/>
      <w:autoSpaceDN w:val="0"/>
      <w:adjustRightInd w:val="0"/>
    </w:pPr>
    <w:rPr>
      <w:rFonts w:ascii="標楷體" w:eastAsia="標楷體" w:cs="標楷體"/>
      <w:color w:val="000000"/>
    </w:rPr>
  </w:style>
  <w:style w:type="paragraph" w:styleId="a6">
    <w:name w:val="header"/>
    <w:basedOn w:val="a1"/>
    <w:link w:val="a7"/>
    <w:uiPriority w:val="99"/>
    <w:rsid w:val="00C93617"/>
    <w:pPr>
      <w:tabs>
        <w:tab w:val="center" w:pos="4153"/>
        <w:tab w:val="right" w:pos="8306"/>
      </w:tabs>
      <w:snapToGrid w:val="0"/>
    </w:pPr>
    <w:rPr>
      <w:sz w:val="20"/>
      <w:szCs w:val="20"/>
    </w:rPr>
  </w:style>
  <w:style w:type="character" w:customStyle="1" w:styleId="a7">
    <w:name w:val="頁首 字元"/>
    <w:link w:val="a6"/>
    <w:uiPriority w:val="99"/>
    <w:locked/>
    <w:rsid w:val="00C93617"/>
    <w:rPr>
      <w:rFonts w:cs="Times New Roman"/>
      <w:sz w:val="20"/>
      <w:szCs w:val="20"/>
    </w:rPr>
  </w:style>
  <w:style w:type="paragraph" w:styleId="a8">
    <w:name w:val="footer"/>
    <w:basedOn w:val="a1"/>
    <w:link w:val="a9"/>
    <w:uiPriority w:val="99"/>
    <w:rsid w:val="00C93617"/>
    <w:pPr>
      <w:tabs>
        <w:tab w:val="center" w:pos="4153"/>
        <w:tab w:val="right" w:pos="8306"/>
      </w:tabs>
      <w:snapToGrid w:val="0"/>
    </w:pPr>
    <w:rPr>
      <w:sz w:val="20"/>
      <w:szCs w:val="20"/>
    </w:rPr>
  </w:style>
  <w:style w:type="character" w:customStyle="1" w:styleId="a9">
    <w:name w:val="頁尾 字元"/>
    <w:link w:val="a8"/>
    <w:uiPriority w:val="99"/>
    <w:locked/>
    <w:rsid w:val="00C93617"/>
    <w:rPr>
      <w:rFonts w:cs="Times New Roman"/>
      <w:sz w:val="20"/>
      <w:szCs w:val="20"/>
    </w:rPr>
  </w:style>
  <w:style w:type="paragraph" w:styleId="aa">
    <w:name w:val="List Paragraph"/>
    <w:basedOn w:val="a1"/>
    <w:uiPriority w:val="99"/>
    <w:qFormat/>
    <w:rsid w:val="000269DC"/>
    <w:pPr>
      <w:ind w:leftChars="200" w:left="480"/>
    </w:pPr>
  </w:style>
  <w:style w:type="paragraph" w:styleId="ab">
    <w:name w:val="Normal Indent"/>
    <w:basedOn w:val="a1"/>
    <w:uiPriority w:val="99"/>
    <w:semiHidden/>
    <w:rsid w:val="00C416EA"/>
    <w:pPr>
      <w:ind w:left="1800" w:hanging="541"/>
    </w:pPr>
    <w:rPr>
      <w:rFonts w:ascii="Times New Roman" w:hAnsi="Times New Roman"/>
      <w:szCs w:val="20"/>
    </w:rPr>
  </w:style>
  <w:style w:type="paragraph" w:styleId="ac">
    <w:name w:val="No Spacing"/>
    <w:uiPriority w:val="99"/>
    <w:qFormat/>
    <w:rsid w:val="00755F7D"/>
    <w:rPr>
      <w:kern w:val="2"/>
      <w:szCs w:val="22"/>
    </w:rPr>
  </w:style>
  <w:style w:type="paragraph" w:customStyle="1" w:styleId="a">
    <w:name w:val="項目標題"/>
    <w:basedOn w:val="a1"/>
    <w:next w:val="a0"/>
    <w:link w:val="ad"/>
    <w:autoRedefine/>
    <w:uiPriority w:val="99"/>
    <w:rsid w:val="00D47E4F"/>
    <w:pPr>
      <w:numPr>
        <w:numId w:val="3"/>
      </w:numPr>
      <w:spacing w:beforeLines="50" w:afterLines="50" w:line="240" w:lineRule="atLeast"/>
      <w:ind w:left="482" w:rightChars="-89" w:right="-214" w:hanging="482"/>
      <w:outlineLvl w:val="0"/>
    </w:pPr>
    <w:rPr>
      <w:rFonts w:ascii="標楷體" w:eastAsia="標楷體" w:hAnsi="標楷體"/>
      <w:b/>
      <w:bCs/>
      <w:sz w:val="36"/>
      <w:szCs w:val="28"/>
    </w:rPr>
  </w:style>
  <w:style w:type="paragraph" w:customStyle="1" w:styleId="a0">
    <w:name w:val="項目"/>
    <w:basedOn w:val="a1"/>
    <w:link w:val="ae"/>
    <w:autoRedefine/>
    <w:uiPriority w:val="99"/>
    <w:rsid w:val="00B033D5"/>
    <w:pPr>
      <w:numPr>
        <w:ilvl w:val="1"/>
        <w:numId w:val="3"/>
      </w:numPr>
      <w:spacing w:line="240" w:lineRule="atLeast"/>
      <w:outlineLvl w:val="1"/>
    </w:pPr>
    <w:rPr>
      <w:rFonts w:ascii="Times New Roman" w:eastAsia="標楷體" w:hAnsi="Times New Roman"/>
      <w:kern w:val="0"/>
      <w:sz w:val="28"/>
    </w:rPr>
  </w:style>
  <w:style w:type="character" w:customStyle="1" w:styleId="ad">
    <w:name w:val="項目標題 字元"/>
    <w:link w:val="a"/>
    <w:uiPriority w:val="99"/>
    <w:locked/>
    <w:rsid w:val="00D47E4F"/>
    <w:rPr>
      <w:rFonts w:ascii="標楷體" w:eastAsia="標楷體" w:hAnsi="標楷體" w:cs="Times New Roman"/>
      <w:b/>
      <w:bCs/>
      <w:kern w:val="2"/>
      <w:sz w:val="28"/>
      <w:szCs w:val="28"/>
      <w:lang w:val="en-US" w:eastAsia="zh-TW" w:bidi="ar-SA"/>
    </w:rPr>
  </w:style>
  <w:style w:type="character" w:customStyle="1" w:styleId="ae">
    <w:name w:val="項目 字元"/>
    <w:link w:val="a0"/>
    <w:uiPriority w:val="99"/>
    <w:locked/>
    <w:rsid w:val="00B033D5"/>
    <w:rPr>
      <w:rFonts w:eastAsia="標楷體" w:cs="Times New Roman"/>
      <w:sz w:val="22"/>
      <w:szCs w:val="22"/>
      <w:lang w:val="en-US" w:eastAsia="zh-TW" w:bidi="ar-SA"/>
    </w:rPr>
  </w:style>
  <w:style w:type="paragraph" w:styleId="af">
    <w:name w:val="Balloon Text"/>
    <w:basedOn w:val="a1"/>
    <w:link w:val="af0"/>
    <w:uiPriority w:val="99"/>
    <w:semiHidden/>
    <w:rsid w:val="004371B4"/>
    <w:rPr>
      <w:rFonts w:ascii="Calibri Light" w:hAnsi="Calibri Light"/>
      <w:sz w:val="18"/>
      <w:szCs w:val="18"/>
    </w:rPr>
  </w:style>
  <w:style w:type="character" w:customStyle="1" w:styleId="af0">
    <w:name w:val="註解方塊文字 字元"/>
    <w:link w:val="af"/>
    <w:uiPriority w:val="99"/>
    <w:semiHidden/>
    <w:locked/>
    <w:rsid w:val="004371B4"/>
    <w:rPr>
      <w:rFonts w:ascii="Calibri Light" w:eastAsia="新細明體" w:hAnsi="Calibri Light" w:cs="Times New Roman"/>
      <w:sz w:val="18"/>
      <w:szCs w:val="18"/>
    </w:rPr>
  </w:style>
  <w:style w:type="table" w:customStyle="1" w:styleId="TableGrid">
    <w:name w:val="TableGrid"/>
    <w:rsid w:val="00C054DA"/>
    <w:rPr>
      <w:kern w:val="2"/>
      <w:szCs w:val="22"/>
    </w:rPr>
    <w:tblPr>
      <w:tblCellMar>
        <w:top w:w="0" w:type="dxa"/>
        <w:left w:w="0" w:type="dxa"/>
        <w:bottom w:w="0" w:type="dxa"/>
        <w:right w:w="0" w:type="dxa"/>
      </w:tblCellMar>
    </w:tblPr>
  </w:style>
  <w:style w:type="paragraph" w:styleId="Web">
    <w:name w:val="Normal (Web)"/>
    <w:basedOn w:val="a1"/>
    <w:uiPriority w:val="99"/>
    <w:semiHidden/>
    <w:unhideWhenUsed/>
    <w:rsid w:val="00723CB1"/>
    <w:pPr>
      <w:widowControl/>
      <w:spacing w:before="100" w:beforeAutospacing="1" w:after="100" w:afterAutospacing="1"/>
    </w:pPr>
    <w:rPr>
      <w:rFonts w:ascii="新細明體" w:hAnsi="新細明體" w:cs="新細明體"/>
      <w:kern w:val="0"/>
      <w:szCs w:val="24"/>
    </w:rPr>
  </w:style>
  <w:style w:type="character" w:customStyle="1" w:styleId="qowt-font3-dfkaisb">
    <w:name w:val="qowt-font3-dfkaisb"/>
    <w:basedOn w:val="a2"/>
    <w:rsid w:val="00F252F6"/>
  </w:style>
  <w:style w:type="character" w:customStyle="1" w:styleId="qowt-font2">
    <w:name w:val="qowt-font2"/>
    <w:basedOn w:val="a2"/>
    <w:rsid w:val="00C714BB"/>
  </w:style>
  <w:style w:type="paragraph" w:styleId="af1">
    <w:name w:val="Subtitle"/>
    <w:basedOn w:val="a1"/>
    <w:next w:val="a1"/>
    <w:uiPriority w:val="11"/>
    <w:qFormat/>
    <w:pPr>
      <w:keepNext/>
      <w:keepLines/>
      <w:spacing w:before="360" w:after="80"/>
    </w:pPr>
    <w:rPr>
      <w:rFonts w:ascii="Georgia" w:eastAsia="Georgia" w:hAnsi="Georgia" w:cs="Georgia"/>
      <w:i/>
      <w:color w:val="666666"/>
      <w:sz w:val="48"/>
      <w:szCs w:val="48"/>
    </w:rPr>
  </w:style>
  <w:style w:type="table" w:customStyle="1" w:styleId="af2">
    <w:basedOn w:val="TableNormal1"/>
    <w:tblPr>
      <w:tblStyleRowBandSize w:val="1"/>
      <w:tblStyleColBandSize w:val="1"/>
      <w:tblCellMar>
        <w:top w:w="46" w:type="dxa"/>
        <w:right w:w="61" w:type="dxa"/>
      </w:tblCellMar>
    </w:tblPr>
  </w:style>
  <w:style w:type="table" w:customStyle="1" w:styleId="af3">
    <w:basedOn w:val="TableNormal1"/>
    <w:tblPr>
      <w:tblStyleRowBandSize w:val="1"/>
      <w:tblStyleColBandSize w:val="1"/>
      <w:tblCellMar>
        <w:top w:w="46" w:type="dxa"/>
        <w:right w:w="61" w:type="dxa"/>
      </w:tblCellMar>
    </w:tblPr>
  </w:style>
  <w:style w:type="table" w:customStyle="1" w:styleId="af4">
    <w:basedOn w:val="TableNormal0"/>
    <w:tblPr>
      <w:tblStyleRowBandSize w:val="1"/>
      <w:tblStyleColBandSize w:val="1"/>
      <w:tblCellMar>
        <w:top w:w="46" w:type="dxa"/>
        <w:right w:w="61"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Z0XOBwsNDvhKzdhr+utH0HzZLQ==">CgMxLjA4AHIhMTBxUENKenBZbVRkZDI5al9mMUttZ1FyNS1xOFBUNlJ2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601</Words>
  <Characters>3432</Characters>
  <Application>Microsoft Office Word</Application>
  <DocSecurity>0</DocSecurity>
  <Lines>28</Lines>
  <Paragraphs>8</Paragraphs>
  <ScaleCrop>false</ScaleCrop>
  <Company>CTS</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Chi-Chen Lin</dc:creator>
  <cp:lastModifiedBy>陳光隆</cp:lastModifiedBy>
  <cp:revision>2</cp:revision>
  <dcterms:created xsi:type="dcterms:W3CDTF">2024-05-29T06:46:00Z</dcterms:created>
  <dcterms:modified xsi:type="dcterms:W3CDTF">2024-09-13T07:24:00Z</dcterms:modified>
</cp:coreProperties>
</file>