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63B46" w14:textId="77777777" w:rsidR="005B24FC" w:rsidRDefault="00B00988">
      <w:pPr>
        <w:spacing w:after="590"/>
        <w:jc w:val="center"/>
        <w:rPr>
          <w:rFonts w:ascii="標楷體" w:eastAsia="標楷體" w:hAnsi="標楷體" w:cs="標楷體"/>
          <w:b/>
          <w:sz w:val="56"/>
          <w:szCs w:val="56"/>
        </w:rPr>
      </w:pPr>
      <w:r>
        <w:rPr>
          <w:rFonts w:ascii="標楷體" w:eastAsia="標楷體" w:hAnsi="標楷體" w:cs="標楷體"/>
          <w:b/>
          <w:sz w:val="56"/>
          <w:szCs w:val="56"/>
        </w:rPr>
        <w:t>中華電視股份有限公司</w:t>
      </w:r>
    </w:p>
    <w:p w14:paraId="703CCDAF" w14:textId="77777777" w:rsidR="005B24FC" w:rsidRDefault="00B00988">
      <w:pPr>
        <w:spacing w:after="590"/>
        <w:jc w:val="center"/>
      </w:pPr>
      <w:r>
        <w:rPr>
          <w:rFonts w:ascii="標楷體" w:eastAsia="標楷體" w:hAnsi="標楷體" w:cs="標楷體"/>
          <w:b/>
          <w:sz w:val="56"/>
          <w:szCs w:val="56"/>
        </w:rPr>
        <w:t>「113年度新媒體部防火牆設備更新」採購案</w:t>
      </w:r>
      <w:r>
        <w:br w:type="page"/>
      </w:r>
      <w:r>
        <w:rPr>
          <w:noProof/>
        </w:rPr>
        <mc:AlternateContent>
          <mc:Choice Requires="wps">
            <w:drawing>
              <wp:anchor distT="0" distB="0" distL="114300" distR="114300" simplePos="0" relativeHeight="251658240" behindDoc="0" locked="0" layoutInCell="1" hidden="0" allowOverlap="1" wp14:anchorId="486B0DBD" wp14:editId="4DFAED11">
                <wp:simplePos x="0" y="0"/>
                <wp:positionH relativeFrom="column">
                  <wp:posOffset>1016000</wp:posOffset>
                </wp:positionH>
                <wp:positionV relativeFrom="paragraph">
                  <wp:posOffset>1574800</wp:posOffset>
                </wp:positionV>
                <wp:extent cx="2899410" cy="1667510"/>
                <wp:effectExtent l="0" t="0" r="0" b="0"/>
                <wp:wrapSquare wrapText="bothSides" distT="0" distB="0" distL="114300" distR="114300"/>
                <wp:docPr id="10" name="矩形 10"/>
                <wp:cNvGraphicFramePr/>
                <a:graphic xmlns:a="http://schemas.openxmlformats.org/drawingml/2006/main">
                  <a:graphicData uri="http://schemas.microsoft.com/office/word/2010/wordprocessingShape">
                    <wps:wsp>
                      <wps:cNvSpPr/>
                      <wps:spPr>
                        <a:xfrm>
                          <a:off x="3915345" y="2965295"/>
                          <a:ext cx="2861310" cy="1629410"/>
                        </a:xfrm>
                        <a:prstGeom prst="rect">
                          <a:avLst/>
                        </a:prstGeom>
                        <a:noFill/>
                        <a:ln w="9525" cap="flat" cmpd="sng">
                          <a:solidFill>
                            <a:srgbClr val="FFFFFF"/>
                          </a:solidFill>
                          <a:prstDash val="solid"/>
                          <a:miter lim="800000"/>
                          <a:headEnd type="none" w="sm" len="sm"/>
                          <a:tailEnd type="none" w="sm" len="sm"/>
                        </a:ln>
                      </wps:spPr>
                      <wps:txbx>
                        <w:txbxContent>
                          <w:p w14:paraId="63799645" w14:textId="77777777" w:rsidR="005B24FC" w:rsidRDefault="00B00988">
                            <w:pPr>
                              <w:jc w:val="center"/>
                              <w:textDirection w:val="btLr"/>
                            </w:pPr>
                            <w:r>
                              <w:rPr>
                                <w:rFonts w:ascii="標楷體" w:eastAsia="標楷體" w:hAnsi="標楷體" w:cs="標楷體"/>
                                <w:color w:val="000000"/>
                                <w:sz w:val="80"/>
                              </w:rPr>
                              <w:t>招標規範</w:t>
                            </w:r>
                          </w:p>
                        </w:txbxContent>
                      </wps:txbx>
                      <wps:bodyPr spcFirstLastPara="1" wrap="square" lIns="91425" tIns="45700" rIns="91425" bIns="45700" anchor="ctr" anchorCtr="0">
                        <a:noAutofit/>
                      </wps:bodyPr>
                    </wps:wsp>
                  </a:graphicData>
                </a:graphic>
              </wp:anchor>
            </w:drawing>
          </mc:Choice>
          <mc:Fallback xmlns:oel="http://schemas.microsoft.com/office/2019/extlst" xmlns:w16du="http://schemas.microsoft.com/office/word/2023/wordml/word16du">
            <w:pict>
              <v:rect w14:anchorId="486B0DBD" id="矩形 10" o:spid="_x0000_s1026" style="position:absolute;left:0;text-align:left;margin-left:80pt;margin-top:124pt;width:228.3pt;height:131.3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" filled="f" strokecolor="white">
                <v:stroke startarrowwidth="narrow" startarrowlength="short" endarrowwidth="narrow" endarrowlength="short"/>
                <v:textbox inset="2.53958mm,1.2694mm,2.53958mm,1.2694mm">
                  <w:txbxContent>
                    <w:p w14:paraId="63799645" w14:textId="77777777" w:rsidR="005B24FC" w:rsidRDefault="00000000">
                      <w:pPr>
                        <w:jc w:val="center"/>
                        <w:textDirection w:val="btLr"/>
                      </w:pPr>
                      <w:r>
                        <w:rPr>
                          <w:rFonts w:ascii="標楷體" w:eastAsia="標楷體" w:hAnsi="標楷體" w:cs="標楷體"/>
                          <w:color w:val="000000"/>
                          <w:sz w:val="80"/>
                        </w:rPr>
                        <w:t>招標規範</w:t>
                      </w:r>
                    </w:p>
                  </w:txbxContent>
                </v:textbox>
                <w10:wrap type="square"/>
              </v:rect>
            </w:pict>
          </mc:Fallback>
        </mc:AlternateContent>
      </w:r>
      <w:r>
        <w:rPr>
          <w:noProof/>
        </w:rPr>
        <mc:AlternateContent>
          <mc:Choice Requires="wps">
            <w:drawing>
              <wp:anchor distT="0" distB="0" distL="114300" distR="114300" simplePos="0" relativeHeight="251659264" behindDoc="0" locked="0" layoutInCell="1" hidden="0" allowOverlap="1" wp14:anchorId="2E65841C" wp14:editId="078A0556">
                <wp:simplePos x="0" y="0"/>
                <wp:positionH relativeFrom="column">
                  <wp:posOffset>1282700</wp:posOffset>
                </wp:positionH>
                <wp:positionV relativeFrom="paragraph">
                  <wp:posOffset>6350000</wp:posOffset>
                </wp:positionV>
                <wp:extent cx="2478405" cy="629123"/>
                <wp:effectExtent l="0" t="0" r="0" b="0"/>
                <wp:wrapNone/>
                <wp:docPr id="9" name="矩形 9"/>
                <wp:cNvGraphicFramePr/>
                <a:graphic xmlns:a="http://schemas.openxmlformats.org/drawingml/2006/main">
                  <a:graphicData uri="http://schemas.microsoft.com/office/word/2010/wordprocessingShape">
                    <wps:wsp>
                      <wps:cNvSpPr/>
                      <wps:spPr>
                        <a:xfrm>
                          <a:off x="4125848" y="3486630"/>
                          <a:ext cx="2440305" cy="58674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F0FE800" w14:textId="08C0DB2E" w:rsidR="005B24FC" w:rsidRDefault="00B00988">
                            <w:pPr>
                              <w:jc w:val="center"/>
                              <w:textDirection w:val="btLr"/>
                            </w:pPr>
                            <w:r>
                              <w:rPr>
                                <w:rFonts w:ascii="標楷體" w:eastAsia="標楷體" w:hAnsi="標楷體" w:cs="標楷體"/>
                                <w:color w:val="000000"/>
                                <w:sz w:val="36"/>
                              </w:rPr>
                              <w:t>中華民國113年</w:t>
                            </w:r>
                            <w:r w:rsidR="00101B2A">
                              <w:rPr>
                                <w:rFonts w:ascii="標楷體" w:eastAsia="標楷體" w:hAnsi="標楷體" w:cs="標楷體" w:hint="eastAsia"/>
                                <w:color w:val="000000"/>
                                <w:sz w:val="36"/>
                              </w:rPr>
                              <w:t>1</w:t>
                            </w:r>
                            <w:r w:rsidR="00101B2A">
                              <w:rPr>
                                <w:rFonts w:ascii="標楷體" w:eastAsia="標楷體" w:hAnsi="標楷體" w:cs="標楷體"/>
                                <w:color w:val="000000"/>
                                <w:sz w:val="36"/>
                              </w:rPr>
                              <w:t>0</w:t>
                            </w:r>
                            <w:r>
                              <w:rPr>
                                <w:rFonts w:ascii="標楷體" w:eastAsia="標楷體" w:hAnsi="標楷體" w:cs="標楷體"/>
                                <w:color w:val="000000"/>
                                <w:sz w:val="36"/>
                              </w:rPr>
                              <w:t>月</w:t>
                            </w:r>
                          </w:p>
                        </w:txbxContent>
                      </wps:txbx>
                      <wps:bodyPr spcFirstLastPara="1" wrap="square" lIns="91425" tIns="45700" rIns="91425" bIns="45700" anchor="ctr" anchorCtr="0">
                        <a:noAutofit/>
                      </wps:bodyPr>
                    </wps:wsp>
                  </a:graphicData>
                </a:graphic>
              </wp:anchor>
            </w:drawing>
          </mc:Choice>
          <mc:Fallback>
            <w:pict>
              <v:rect w14:anchorId="2E65841C" id="矩形 9" o:spid="_x0000_s1027" style="position:absolute;left:0;text-align:left;margin-left:101pt;margin-top:500pt;width:195.15pt;height:49.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" strokecolor="white">
                <v:stroke startarrowwidth="narrow" startarrowlength="short" endarrowwidth="narrow" endarrowlength="short"/>
                <v:textbox inset="2.53958mm,1.2694mm,2.53958mm,1.2694mm">
                  <w:txbxContent>
                    <w:p w14:paraId="2F0FE800" w14:textId="08C0DB2E" w:rsidR="005B24FC" w:rsidRDefault="00B00988">
                      <w:pPr>
                        <w:jc w:val="center"/>
                        <w:textDirection w:val="btLr"/>
                      </w:pPr>
                      <w:r>
                        <w:rPr>
                          <w:rFonts w:ascii="標楷體" w:eastAsia="標楷體" w:hAnsi="標楷體" w:cs="標楷體"/>
                          <w:color w:val="000000"/>
                          <w:sz w:val="36"/>
                        </w:rPr>
                        <w:t>中華民國113年</w:t>
                      </w:r>
                      <w:r w:rsidR="00101B2A">
                        <w:rPr>
                          <w:rFonts w:ascii="標楷體" w:eastAsia="標楷體" w:hAnsi="標楷體" w:cs="標楷體" w:hint="eastAsia"/>
                          <w:color w:val="000000"/>
                          <w:sz w:val="36"/>
                        </w:rPr>
                        <w:t>1</w:t>
                      </w:r>
                      <w:r w:rsidR="00101B2A">
                        <w:rPr>
                          <w:rFonts w:ascii="標楷體" w:eastAsia="標楷體" w:hAnsi="標楷體" w:cs="標楷體"/>
                          <w:color w:val="000000"/>
                          <w:sz w:val="36"/>
                        </w:rPr>
                        <w:t>0</w:t>
                      </w:r>
                      <w:r>
                        <w:rPr>
                          <w:rFonts w:ascii="標楷體" w:eastAsia="標楷體" w:hAnsi="標楷體" w:cs="標楷體"/>
                          <w:color w:val="000000"/>
                          <w:sz w:val="36"/>
                        </w:rPr>
                        <w:t>月</w:t>
                      </w:r>
                    </w:p>
                  </w:txbxContent>
                </v:textbox>
              </v:rect>
            </w:pict>
          </mc:Fallback>
        </mc:AlternateContent>
      </w:r>
    </w:p>
    <w:p w14:paraId="67ABA9EF" w14:textId="77777777" w:rsidR="005B24FC" w:rsidRDefault="00B00988">
      <w:pPr>
        <w:spacing w:after="106"/>
        <w:ind w:left="2604"/>
        <w:rPr>
          <w:rFonts w:ascii="Times New Roman" w:eastAsia="Times New Roman" w:hAnsi="Times New Roman" w:cs="Times New Roman"/>
          <w:b/>
          <w:sz w:val="32"/>
          <w:szCs w:val="32"/>
        </w:rPr>
      </w:pPr>
      <w:r>
        <w:rPr>
          <w:rFonts w:ascii="標楷體" w:eastAsia="標楷體" w:hAnsi="標楷體" w:cs="標楷體"/>
          <w:sz w:val="32"/>
          <w:szCs w:val="32"/>
          <w:u w:val="single"/>
        </w:rPr>
        <w:lastRenderedPageBreak/>
        <w:t>招</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標</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規</w:t>
      </w:r>
      <w:r>
        <w:rPr>
          <w:rFonts w:ascii="Times New Roman" w:eastAsia="Times New Roman" w:hAnsi="Times New Roman" w:cs="Times New Roman"/>
          <w:b/>
          <w:sz w:val="32"/>
          <w:szCs w:val="32"/>
          <w:u w:val="single"/>
        </w:rPr>
        <w:t xml:space="preserve">      </w:t>
      </w:r>
      <w:r>
        <w:rPr>
          <w:rFonts w:ascii="標楷體" w:eastAsia="標楷體" w:hAnsi="標楷體" w:cs="標楷體"/>
          <w:sz w:val="32"/>
          <w:szCs w:val="32"/>
          <w:u w:val="single"/>
        </w:rPr>
        <w:t>範</w:t>
      </w:r>
      <w:r>
        <w:rPr>
          <w:rFonts w:ascii="Times New Roman" w:eastAsia="Times New Roman" w:hAnsi="Times New Roman" w:cs="Times New Roman"/>
          <w:b/>
          <w:sz w:val="32"/>
          <w:szCs w:val="32"/>
        </w:rPr>
        <w:t xml:space="preserve"> </w:t>
      </w:r>
    </w:p>
    <w:p w14:paraId="3FA31D4D" w14:textId="77777777" w:rsidR="005B24FC" w:rsidRDefault="00B00988">
      <w:pPr>
        <w:spacing w:after="106"/>
        <w:rPr>
          <w:rFonts w:ascii="標楷體" w:eastAsia="標楷體" w:hAnsi="標楷體" w:cs="標楷體"/>
        </w:rPr>
      </w:pPr>
      <w:r>
        <w:rPr>
          <w:rFonts w:ascii="標楷體" w:eastAsia="標楷體" w:hAnsi="標楷體" w:cs="標楷體"/>
        </w:rPr>
        <w:t xml:space="preserve"> </w:t>
      </w:r>
    </w:p>
    <w:p w14:paraId="6FA7E6E4" w14:textId="77777777" w:rsidR="005B24FC" w:rsidRDefault="00B00988">
      <w:pPr>
        <w:spacing w:after="100"/>
        <w:ind w:left="960" w:hanging="480"/>
        <w:rPr>
          <w:rFonts w:ascii="標楷體" w:eastAsia="標楷體" w:hAnsi="標楷體" w:cs="標楷體"/>
          <w:color w:val="FF0000"/>
        </w:rPr>
      </w:pPr>
      <w:r>
        <w:rPr>
          <w:rFonts w:ascii="標楷體" w:eastAsia="標楷體" w:hAnsi="標楷體" w:cs="標楷體"/>
        </w:rPr>
        <w:t>一、標的名稱：</w:t>
      </w:r>
      <w:r>
        <w:rPr>
          <w:rFonts w:ascii="標楷體" w:eastAsia="標楷體" w:hAnsi="標楷體" w:cs="標楷體"/>
          <w:color w:val="FF0000"/>
        </w:rPr>
        <w:t>「113年度新媒體部防火牆設備更新」採購案</w:t>
      </w:r>
    </w:p>
    <w:p w14:paraId="1751A374" w14:textId="77777777" w:rsidR="005B24FC" w:rsidRDefault="00B00988">
      <w:pPr>
        <w:spacing w:after="100"/>
        <w:ind w:left="960" w:hanging="480"/>
        <w:rPr>
          <w:rFonts w:ascii="標楷體" w:eastAsia="標楷體" w:hAnsi="標楷體" w:cs="標楷體"/>
        </w:rPr>
      </w:pPr>
      <w:r>
        <w:rPr>
          <w:rFonts w:ascii="標楷體" w:eastAsia="標楷體" w:hAnsi="標楷體" w:cs="標楷體"/>
        </w:rPr>
        <w:t>二、需求通則：</w:t>
      </w:r>
    </w:p>
    <w:p w14:paraId="31F85EE6"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(一)得標廠商(或稱立約商或廠商)負責本案「新媒體部防火牆更新」之交貨、安裝及測試。</w:t>
      </w:r>
    </w:p>
    <w:p w14:paraId="205D7B84"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(二)得標廠商需提供足夠安裝所需之機櫃零件，包含但不限於電源排插、電源轉接頭、層板、滑軌套件、螺絲及裝卸工具等相關配件以供本案使用。並負責本案軟硬體佈線施作、安裝及測試等作業。</w:t>
      </w:r>
    </w:p>
    <w:p w14:paraId="3D584840"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三)得標廠商需執行本案顧問諮詢、操作教育訓練及保固期間之維護作業。應指派一人為單一窗口專案負責人(工程師)，與中華電視股份有限公司(以下簡稱本公司)之指定人員協同合作；自議價得標日起，至保固服務結束日止，與本公司相關人員配合，提供技術服務顧問與保固維修工作事宜。任何必須整合本公司與得標廠商資源之維運工作均由得標廠商負責協調。</w:t>
      </w:r>
    </w:p>
    <w:p w14:paraId="7ED89C28"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四)有關本案採購設備之統籌規劃及施作協調均由本案得標廠商完全負責。若得標廠商提供之設備經實測無法達到預期功能或驗收標準，需自行增補設備至可以順利達成為止，對此得標廠商不得要求增加契約金額。</w:t>
      </w:r>
    </w:p>
    <w:p w14:paraId="56EBB3B9"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(五)所有提供之軟硬體設備(含安裝、測試及教育訓練課程)均應包含在契約價款總額，不得於事後做任何增加契約金額的要求。</w:t>
      </w:r>
    </w:p>
    <w:p w14:paraId="2B5AB087"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(六)本案採購之軟硬體設備每套皆須含全套正本之相關手冊或電子檔ㄧ套，於交貨時交付本公司，上述所衍生之相關費用由得標廠商自行負擔，原廠隨機附贈之相關光碟者仍需免費提供本公司。</w:t>
      </w:r>
    </w:p>
    <w:p w14:paraId="5132E93C"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(七)本案採購之軟硬體設備不得為中國品牌。</w:t>
      </w:r>
    </w:p>
    <w:p w14:paraId="292A737F"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(八)得標廠商簽約日後7個工作天內派遣工程人員會同本案相關人員至現場會勘，並於簽約日後一個月內提供全案設備等之完整接線圖、系統方塊圖等。</w:t>
      </w:r>
    </w:p>
    <w:p w14:paraId="5C9D9AAA"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(九)施工期間得標廠商商須派遣合格技術人員全程在現場指導施工，並檢查核對所有線路配線，以確保品質及工作安全。施工期間須確保系統不能有中斷情形。</w:t>
      </w:r>
    </w:p>
    <w:p w14:paraId="25434932"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(十)得標廠商於專案建置階段所知悉本公司之相關網路架構資訊(包含但不限路由設定、IP資訊、個人資料等)，皆須負保密責任，不得轉知與專案無關之人員，並需於雙方之合約中載明保密規定。</w:t>
      </w:r>
    </w:p>
    <w:p w14:paraId="215BCA0C"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(十一)為確保建置期間之資通訊安全，得標廠商須訂有緊急應變程序，避免因事故發生時本公司遭受事故之影響而中斷服務。</w:t>
      </w:r>
    </w:p>
    <w:p w14:paraId="596301C1"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(十二)本案所提供之硬體需為113年後出廠之設備。</w:t>
      </w:r>
    </w:p>
    <w:p w14:paraId="46472952"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t>(十三)廠商及複委託之廠商不得為經濟部投資審議委員會公告之陸資資訊服務業者並須具備ISO27001與原廠專業證照。</w:t>
      </w:r>
    </w:p>
    <w:p w14:paraId="33091152" w14:textId="77777777" w:rsidR="005B24FC" w:rsidRDefault="00B00988">
      <w:pPr>
        <w:spacing w:after="100"/>
        <w:ind w:left="1440" w:hanging="480"/>
        <w:jc w:val="both"/>
        <w:rPr>
          <w:rFonts w:ascii="標楷體" w:eastAsia="標楷體" w:hAnsi="標楷體" w:cs="標楷體"/>
        </w:rPr>
      </w:pPr>
      <w:r>
        <w:rPr>
          <w:rFonts w:ascii="標楷體" w:eastAsia="標楷體" w:hAnsi="標楷體" w:cs="標楷體"/>
        </w:rPr>
        <w:lastRenderedPageBreak/>
        <w:t>(十四)得標廠商須於全案驗收前提供BAS模擬演練報告一份(驗證防火牆之安全性)並於合格日之次日起提供每年專案標的物弱點掃描服務及每半年保設備維護檢查，得標廠商需提供弱點掃描服務報告書。</w:t>
      </w:r>
    </w:p>
    <w:p w14:paraId="7DEA4B28" w14:textId="77777777" w:rsidR="005B24FC" w:rsidRDefault="00B00988">
      <w:pPr>
        <w:spacing w:after="100"/>
        <w:ind w:left="960" w:hanging="480"/>
        <w:rPr>
          <w:rFonts w:ascii="標楷體" w:eastAsia="標楷體" w:hAnsi="標楷體" w:cs="標楷體"/>
        </w:rPr>
      </w:pPr>
      <w:r>
        <w:rPr>
          <w:rFonts w:ascii="標楷體" w:eastAsia="標楷體" w:hAnsi="標楷體" w:cs="標楷體"/>
        </w:rPr>
        <w:t>三、計劃書：</w:t>
      </w:r>
    </w:p>
    <w:p w14:paraId="20522B9A" w14:textId="77777777" w:rsidR="005B24FC" w:rsidRDefault="00B00988">
      <w:pPr>
        <w:spacing w:after="100"/>
        <w:ind w:left="480"/>
        <w:rPr>
          <w:rFonts w:ascii="標楷體" w:eastAsia="標楷體" w:hAnsi="標楷體" w:cs="標楷體"/>
        </w:rPr>
      </w:pPr>
      <w:r>
        <w:rPr>
          <w:rFonts w:ascii="標楷體" w:eastAsia="標楷體" w:hAnsi="標楷體" w:cs="標楷體"/>
        </w:rPr>
        <w:t>計劃書內容須包含以下項目</w:t>
      </w:r>
    </w:p>
    <w:p w14:paraId="0B5F8658" w14:textId="77777777" w:rsidR="005B24FC" w:rsidRDefault="00B00988">
      <w:pPr>
        <w:numPr>
          <w:ilvl w:val="0"/>
          <w:numId w:val="2"/>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廠商所提供之設備規格明細表，並註記所對應下表「規格需求」之項次編號</w:t>
      </w:r>
    </w:p>
    <w:p w14:paraId="6AB197D0" w14:textId="77777777" w:rsidR="005B24FC" w:rsidRDefault="00B00988">
      <w:pPr>
        <w:numPr>
          <w:ilvl w:val="0"/>
          <w:numId w:val="2"/>
        </w:numPr>
        <w:pBdr>
          <w:top w:val="nil"/>
          <w:left w:val="nil"/>
          <w:bottom w:val="nil"/>
          <w:right w:val="nil"/>
          <w:between w:val="nil"/>
        </w:pBdr>
        <w:spacing w:after="100"/>
        <w:rPr>
          <w:rFonts w:ascii="標楷體" w:eastAsia="標楷體" w:hAnsi="標楷體" w:cs="標楷體"/>
          <w:color w:val="000000"/>
          <w:szCs w:val="24"/>
        </w:rPr>
      </w:pPr>
      <w:r>
        <w:rPr>
          <w:rFonts w:ascii="標楷體" w:eastAsia="標楷體" w:hAnsi="標楷體" w:cs="標楷體"/>
          <w:color w:val="000000"/>
          <w:szCs w:val="24"/>
        </w:rPr>
        <w:t>系統安裝上線步驟(包含系統還原策略)。</w:t>
      </w:r>
    </w:p>
    <w:p w14:paraId="3A19E918" w14:textId="262FBBBC" w:rsidR="005B24FC" w:rsidRPr="005B6E52" w:rsidRDefault="00B00988" w:rsidP="005B6E52">
      <w:pPr>
        <w:pStyle w:val="aa"/>
        <w:numPr>
          <w:ilvl w:val="0"/>
          <w:numId w:val="2"/>
        </w:numPr>
        <w:spacing w:after="100"/>
        <w:ind w:leftChars="0"/>
        <w:rPr>
          <w:rFonts w:ascii="標楷體" w:eastAsia="標楷體" w:hAnsi="標楷體" w:cs="標楷體"/>
        </w:rPr>
      </w:pPr>
      <w:r w:rsidRPr="005B6E52">
        <w:rPr>
          <w:rFonts w:ascii="標楷體" w:eastAsia="標楷體" w:hAnsi="標楷體" w:cs="標楷體"/>
        </w:rPr>
        <w:t>本案執行內容所規定之安裝服務(如下表「規格需求」備註第七項)，廠商所提供之安裝步驟流程說明、安裝完成驗證方式說明。</w:t>
      </w:r>
    </w:p>
    <w:p w14:paraId="61A586C2" w14:textId="7837D9C0" w:rsidR="005B6E52" w:rsidRPr="005B6E52" w:rsidRDefault="005B6E52" w:rsidP="005B6E52">
      <w:pPr>
        <w:pStyle w:val="aa"/>
        <w:numPr>
          <w:ilvl w:val="0"/>
          <w:numId w:val="2"/>
        </w:numPr>
        <w:spacing w:after="100"/>
        <w:ind w:leftChars="0"/>
        <w:rPr>
          <w:rFonts w:ascii="標楷體" w:eastAsia="標楷體" w:hAnsi="標楷體" w:cs="標楷體"/>
        </w:rPr>
      </w:pPr>
      <w:r>
        <w:rPr>
          <w:rFonts w:ascii="標楷體" w:eastAsia="標楷體" w:hAnsi="標楷體" w:cs="標楷體" w:hint="eastAsia"/>
        </w:rPr>
        <w:t>ISO27001證書、技術人員原廠專業證照</w:t>
      </w:r>
    </w:p>
    <w:p w14:paraId="0F101217" w14:textId="77777777" w:rsidR="005B24FC" w:rsidRDefault="00B00988">
      <w:pPr>
        <w:spacing w:after="100"/>
        <w:ind w:left="960" w:hanging="480"/>
        <w:rPr>
          <w:rFonts w:ascii="標楷體" w:eastAsia="標楷體" w:hAnsi="標楷體" w:cs="標楷體"/>
        </w:rPr>
      </w:pPr>
      <w:r>
        <w:rPr>
          <w:rFonts w:ascii="標楷體" w:eastAsia="標楷體" w:hAnsi="標楷體" w:cs="標楷體"/>
        </w:rPr>
        <w:t xml:space="preserve">四、規格需求：              </w:t>
      </w:r>
    </w:p>
    <w:tbl>
      <w:tblPr>
        <w:tblStyle w:val="af5"/>
        <w:tblW w:w="9420" w:type="dxa"/>
        <w:tblInd w:w="-28" w:type="dxa"/>
        <w:tblLayout w:type="fixed"/>
        <w:tblLook w:val="0400" w:firstRow="0" w:lastRow="0" w:firstColumn="0" w:lastColumn="0" w:noHBand="0" w:noVBand="1"/>
      </w:tblPr>
      <w:tblGrid>
        <w:gridCol w:w="750"/>
        <w:gridCol w:w="1110"/>
        <w:gridCol w:w="6090"/>
        <w:gridCol w:w="720"/>
        <w:gridCol w:w="750"/>
      </w:tblGrid>
      <w:tr w:rsidR="005B24FC" w14:paraId="3E3023D3" w14:textId="77777777">
        <w:trPr>
          <w:trHeight w:val="406"/>
        </w:trPr>
        <w:tc>
          <w:tcPr>
            <w:tcW w:w="750" w:type="dxa"/>
            <w:tcBorders>
              <w:top w:val="single" w:sz="12" w:space="0" w:color="000000"/>
              <w:left w:val="single" w:sz="12" w:space="0" w:color="000000"/>
              <w:bottom w:val="single" w:sz="6" w:space="0" w:color="000000"/>
              <w:right w:val="single" w:sz="12" w:space="0" w:color="000000"/>
            </w:tcBorders>
          </w:tcPr>
          <w:p w14:paraId="7692C40F" w14:textId="77777777" w:rsidR="005B24FC" w:rsidRDefault="00B00988">
            <w:pPr>
              <w:ind w:left="134"/>
              <w:jc w:val="both"/>
              <w:rPr>
                <w:rFonts w:ascii="標楷體" w:eastAsia="標楷體" w:hAnsi="標楷體" w:cs="標楷體"/>
              </w:rPr>
            </w:pPr>
            <w:r>
              <w:rPr>
                <w:rFonts w:ascii="標楷體" w:eastAsia="標楷體" w:hAnsi="標楷體" w:cs="標楷體"/>
              </w:rPr>
              <w:t>項次</w:t>
            </w:r>
            <w:r>
              <w:rPr>
                <w:rFonts w:ascii="標楷體" w:eastAsia="標楷體" w:hAnsi="標楷體" w:cs="標楷體"/>
                <w:b/>
              </w:rPr>
              <w:t xml:space="preserve"> </w:t>
            </w:r>
          </w:p>
        </w:tc>
        <w:tc>
          <w:tcPr>
            <w:tcW w:w="1110" w:type="dxa"/>
            <w:tcBorders>
              <w:top w:val="single" w:sz="12" w:space="0" w:color="000000"/>
              <w:left w:val="single" w:sz="12" w:space="0" w:color="000000"/>
              <w:bottom w:val="single" w:sz="6" w:space="0" w:color="000000"/>
              <w:right w:val="single" w:sz="12" w:space="0" w:color="000000"/>
            </w:tcBorders>
          </w:tcPr>
          <w:p w14:paraId="77786D21" w14:textId="77777777" w:rsidR="005B24FC" w:rsidRDefault="00B00988">
            <w:pPr>
              <w:ind w:left="61"/>
              <w:jc w:val="center"/>
              <w:rPr>
                <w:rFonts w:ascii="標楷體" w:eastAsia="標楷體" w:hAnsi="標楷體" w:cs="標楷體"/>
              </w:rPr>
            </w:pPr>
            <w:r>
              <w:rPr>
                <w:rFonts w:ascii="標楷體" w:eastAsia="標楷體" w:hAnsi="標楷體" w:cs="標楷體"/>
              </w:rPr>
              <w:t>品   名</w:t>
            </w:r>
            <w:r>
              <w:rPr>
                <w:rFonts w:ascii="標楷體" w:eastAsia="標楷體" w:hAnsi="標楷體" w:cs="標楷體"/>
                <w:b/>
              </w:rPr>
              <w:t xml:space="preserve"> </w:t>
            </w:r>
          </w:p>
        </w:tc>
        <w:tc>
          <w:tcPr>
            <w:tcW w:w="6090" w:type="dxa"/>
            <w:tcBorders>
              <w:top w:val="single" w:sz="12" w:space="0" w:color="000000"/>
              <w:left w:val="single" w:sz="12" w:space="0" w:color="000000"/>
              <w:bottom w:val="single" w:sz="6" w:space="0" w:color="000000"/>
              <w:right w:val="single" w:sz="12" w:space="0" w:color="000000"/>
            </w:tcBorders>
          </w:tcPr>
          <w:p w14:paraId="61FF8A97" w14:textId="77777777" w:rsidR="005B24FC" w:rsidRDefault="00B00988">
            <w:pPr>
              <w:ind w:left="61"/>
              <w:jc w:val="center"/>
              <w:rPr>
                <w:rFonts w:ascii="標楷體" w:eastAsia="標楷體" w:hAnsi="標楷體" w:cs="標楷體"/>
              </w:rPr>
            </w:pPr>
            <w:r>
              <w:rPr>
                <w:rFonts w:ascii="標楷體" w:eastAsia="標楷體" w:hAnsi="標楷體" w:cs="標楷體"/>
              </w:rPr>
              <w:t>規</w:t>
            </w:r>
            <w:r>
              <w:rPr>
                <w:rFonts w:ascii="標楷體" w:eastAsia="標楷體" w:hAnsi="標楷體" w:cs="標楷體"/>
                <w:b/>
              </w:rPr>
              <w:t xml:space="preserve">       </w:t>
            </w:r>
            <w:r>
              <w:rPr>
                <w:rFonts w:ascii="標楷體" w:eastAsia="標楷體" w:hAnsi="標楷體" w:cs="標楷體"/>
              </w:rPr>
              <w:t>格</w:t>
            </w:r>
            <w:r>
              <w:rPr>
                <w:rFonts w:ascii="標楷體" w:eastAsia="標楷體" w:hAnsi="標楷體" w:cs="標楷體"/>
                <w:b/>
              </w:rPr>
              <w:t xml:space="preserve"> </w:t>
            </w:r>
          </w:p>
        </w:tc>
        <w:tc>
          <w:tcPr>
            <w:tcW w:w="720" w:type="dxa"/>
            <w:tcBorders>
              <w:top w:val="single" w:sz="12" w:space="0" w:color="000000"/>
              <w:left w:val="single" w:sz="12" w:space="0" w:color="000000"/>
              <w:bottom w:val="single" w:sz="6" w:space="0" w:color="000000"/>
              <w:right w:val="single" w:sz="12" w:space="0" w:color="000000"/>
            </w:tcBorders>
          </w:tcPr>
          <w:p w14:paraId="2374A996" w14:textId="77777777" w:rsidR="005B24FC" w:rsidRDefault="00B00988">
            <w:pPr>
              <w:ind w:left="119"/>
              <w:jc w:val="both"/>
              <w:rPr>
                <w:rFonts w:ascii="標楷體" w:eastAsia="標楷體" w:hAnsi="標楷體" w:cs="標楷體"/>
              </w:rPr>
            </w:pPr>
            <w:r>
              <w:rPr>
                <w:rFonts w:ascii="標楷體" w:eastAsia="標楷體" w:hAnsi="標楷體" w:cs="標楷體"/>
              </w:rPr>
              <w:t>單位</w:t>
            </w:r>
            <w:r>
              <w:rPr>
                <w:rFonts w:ascii="標楷體" w:eastAsia="標楷體" w:hAnsi="標楷體" w:cs="標楷體"/>
                <w:b/>
              </w:rPr>
              <w:t xml:space="preserve"> </w:t>
            </w:r>
          </w:p>
        </w:tc>
        <w:tc>
          <w:tcPr>
            <w:tcW w:w="750" w:type="dxa"/>
            <w:tcBorders>
              <w:top w:val="single" w:sz="12" w:space="0" w:color="000000"/>
              <w:left w:val="single" w:sz="12" w:space="0" w:color="000000"/>
              <w:bottom w:val="single" w:sz="6" w:space="0" w:color="000000"/>
              <w:right w:val="single" w:sz="12" w:space="0" w:color="000000"/>
            </w:tcBorders>
          </w:tcPr>
          <w:p w14:paraId="4D9A9417" w14:textId="77777777" w:rsidR="005B24FC" w:rsidRDefault="00B00988">
            <w:pPr>
              <w:ind w:left="134"/>
              <w:jc w:val="both"/>
              <w:rPr>
                <w:rFonts w:ascii="標楷體" w:eastAsia="標楷體" w:hAnsi="標楷體" w:cs="標楷體"/>
              </w:rPr>
            </w:pPr>
            <w:r>
              <w:rPr>
                <w:rFonts w:ascii="標楷體" w:eastAsia="標楷體" w:hAnsi="標楷體" w:cs="標楷體"/>
              </w:rPr>
              <w:t>數量</w:t>
            </w:r>
          </w:p>
        </w:tc>
      </w:tr>
      <w:tr w:rsidR="005B24FC" w14:paraId="46B2C33B" w14:textId="77777777">
        <w:trPr>
          <w:trHeight w:val="1499"/>
        </w:trPr>
        <w:tc>
          <w:tcPr>
            <w:tcW w:w="750" w:type="dxa"/>
            <w:tcBorders>
              <w:top w:val="single" w:sz="6" w:space="0" w:color="000000"/>
              <w:left w:val="single" w:sz="12" w:space="0" w:color="000000"/>
              <w:right w:val="single" w:sz="12" w:space="0" w:color="000000"/>
            </w:tcBorders>
          </w:tcPr>
          <w:p w14:paraId="57DB3DF4" w14:textId="77777777" w:rsidR="005B24FC" w:rsidRDefault="00B00988">
            <w:pPr>
              <w:spacing w:after="60"/>
              <w:ind w:left="61"/>
              <w:jc w:val="center"/>
              <w:rPr>
                <w:rFonts w:ascii="標楷體" w:eastAsia="標楷體" w:hAnsi="標楷體" w:cs="標楷體"/>
              </w:rPr>
            </w:pPr>
            <w:r>
              <w:rPr>
                <w:rFonts w:ascii="標楷體" w:eastAsia="標楷體" w:hAnsi="標楷體" w:cs="標楷體"/>
              </w:rPr>
              <w:t xml:space="preserve">1 </w:t>
            </w:r>
          </w:p>
        </w:tc>
        <w:tc>
          <w:tcPr>
            <w:tcW w:w="1110" w:type="dxa"/>
            <w:tcBorders>
              <w:top w:val="single" w:sz="6" w:space="0" w:color="000000"/>
              <w:left w:val="single" w:sz="12" w:space="0" w:color="000000"/>
              <w:bottom w:val="single" w:sz="4" w:space="0" w:color="000000"/>
              <w:right w:val="single" w:sz="12" w:space="0" w:color="000000"/>
            </w:tcBorders>
          </w:tcPr>
          <w:p w14:paraId="10E48D7D" w14:textId="77777777" w:rsidR="005B24FC" w:rsidRDefault="00B00988">
            <w:pPr>
              <w:spacing w:after="41"/>
              <w:ind w:left="59"/>
              <w:jc w:val="center"/>
              <w:rPr>
                <w:rFonts w:ascii="標楷體" w:eastAsia="標楷體" w:hAnsi="標楷體" w:cs="標楷體"/>
              </w:rPr>
            </w:pPr>
            <w:r>
              <w:rPr>
                <w:rFonts w:ascii="標楷體" w:eastAsia="標楷體" w:hAnsi="標楷體" w:cs="標楷體"/>
              </w:rPr>
              <w:t xml:space="preserve">防火牆設備  </w:t>
            </w:r>
          </w:p>
        </w:tc>
        <w:tc>
          <w:tcPr>
            <w:tcW w:w="6090" w:type="dxa"/>
            <w:tcBorders>
              <w:top w:val="single" w:sz="6" w:space="0" w:color="000000"/>
              <w:left w:val="single" w:sz="12" w:space="0" w:color="000000"/>
              <w:bottom w:val="single" w:sz="4" w:space="0" w:color="000000"/>
              <w:right w:val="single" w:sz="12" w:space="0" w:color="000000"/>
            </w:tcBorders>
          </w:tcPr>
          <w:p w14:paraId="2B14B1B4"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每台獨立主機採硬體式設備(Hardware Appliance)架構，並使用嵌入式或專屬作業系統</w:t>
            </w:r>
            <w:r>
              <w:rPr>
                <w:rFonts w:ascii="標楷體" w:eastAsia="標楷體" w:hAnsi="標楷體" w:cs="標楷體"/>
                <w:color w:val="000000"/>
              </w:rPr>
              <w:t xml:space="preserve">。 </w:t>
            </w:r>
          </w:p>
          <w:p w14:paraId="53F21032"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至少須提供2個(含)以上電源供應模組，電源供應模組具備備援(Redundant)</w:t>
            </w:r>
            <w:r>
              <w:rPr>
                <w:rFonts w:ascii="標楷體" w:eastAsia="標楷體" w:hAnsi="標楷體" w:cs="標楷體"/>
                <w:color w:val="000000"/>
              </w:rPr>
              <w:t xml:space="preserve">。 </w:t>
            </w:r>
          </w:p>
          <w:p w14:paraId="086424C9"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每台需具備1個(含)以上固態硬碟(SSD)，單個容量須達480G(含)以上</w:t>
            </w:r>
            <w:r>
              <w:rPr>
                <w:rFonts w:ascii="標楷體" w:eastAsia="標楷體" w:hAnsi="標楷體" w:cs="標楷體"/>
                <w:color w:val="000000"/>
              </w:rPr>
              <w:t xml:space="preserve">。 </w:t>
            </w:r>
          </w:p>
          <w:p w14:paraId="04E3E59A"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單一機體提供10埠(含)以上1GE(含)以上速率RJ45介面，以及8埠(含)以上10Gbps SFP+網路連接介面以及1埠(含)以上專屬管理介面</w:t>
            </w:r>
            <w:r>
              <w:rPr>
                <w:rFonts w:ascii="標楷體" w:eastAsia="標楷體" w:hAnsi="標楷體" w:cs="標楷體"/>
                <w:color w:val="000000"/>
              </w:rPr>
              <w:t xml:space="preserve">。 </w:t>
            </w:r>
          </w:p>
          <w:p w14:paraId="35EBE95D"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系統同時連線數至少須達300萬個(含)以上，以及每秒新增連線數須達268,000個(含)以上</w:t>
            </w:r>
            <w:r>
              <w:rPr>
                <w:rFonts w:ascii="標楷體" w:eastAsia="標楷體" w:hAnsi="標楷體" w:cs="標楷體"/>
                <w:color w:val="000000"/>
              </w:rPr>
              <w:t xml:space="preserve">。 </w:t>
            </w:r>
          </w:p>
          <w:p w14:paraId="366452E7"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防火牆處理效能Throughput須達35 Gbps(含)以上</w:t>
            </w:r>
            <w:r>
              <w:rPr>
                <w:rFonts w:ascii="標楷體" w:eastAsia="標楷體" w:hAnsi="標楷體" w:cs="標楷體"/>
                <w:color w:val="000000"/>
              </w:rPr>
              <w:t xml:space="preserve">。 </w:t>
            </w:r>
          </w:p>
          <w:p w14:paraId="41CD31A6"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當入侵防護、應用程式管控和惡意防護等功能全部開啟的狀態下處理效能Throughput須達9 Gbps(含)以上</w:t>
            </w:r>
            <w:r>
              <w:rPr>
                <w:rFonts w:ascii="標楷體" w:eastAsia="標楷體" w:hAnsi="標楷體" w:cs="標楷體"/>
                <w:color w:val="000000"/>
              </w:rPr>
              <w:t xml:space="preserve">。 </w:t>
            </w:r>
          </w:p>
          <w:p w14:paraId="77F67CF3"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具備IPSec VPN連線方式，加密演算法至少支援AES256，且VPN Throughput效能至少 14.5 Gbps(含)以上</w:t>
            </w:r>
            <w:r>
              <w:rPr>
                <w:rFonts w:ascii="標楷體" w:eastAsia="標楷體" w:hAnsi="標楷體" w:cs="標楷體"/>
                <w:color w:val="000000"/>
              </w:rPr>
              <w:t xml:space="preserve">。 </w:t>
            </w:r>
          </w:p>
          <w:p w14:paraId="462479B4"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援虛擬網路線路配對 (Virtual Wire Pair) 功能，可依設定將兩個實體介面線路設定為配對</w:t>
            </w:r>
            <w:r>
              <w:rPr>
                <w:rFonts w:ascii="標楷體" w:eastAsia="標楷體" w:hAnsi="標楷體" w:cs="標楷體"/>
                <w:color w:val="000000"/>
              </w:rPr>
              <w:t xml:space="preserve">。 </w:t>
            </w:r>
          </w:p>
          <w:p w14:paraId="005DB8F3"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支援靜態IPv4和IPv6路由通訊協定(Static Route)以及動態IPv4和IPv6路由通訊協定OSPFv2、</w:t>
            </w:r>
            <w:r>
              <w:rPr>
                <w:rFonts w:ascii="標楷體" w:eastAsia="標楷體" w:hAnsi="標楷體" w:cs="標楷體"/>
              </w:rPr>
              <w:lastRenderedPageBreak/>
              <w:t>OSPFv3、BGP等，具備USGv6或IPv6 Ready Phase 2等認證</w:t>
            </w:r>
            <w:r>
              <w:rPr>
                <w:rFonts w:ascii="標楷體" w:eastAsia="標楷體" w:hAnsi="標楷體" w:cs="標楷體"/>
                <w:color w:val="000000"/>
              </w:rPr>
              <w:t xml:space="preserve">。  </w:t>
            </w:r>
          </w:p>
          <w:p w14:paraId="268CEB7D"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支援外部動態物件匯入阻擋清單，可將存放於外部網站IP地址清單、Domain地址清單匯入阻擋清單中</w:t>
            </w:r>
            <w:r>
              <w:rPr>
                <w:rFonts w:ascii="標楷體" w:eastAsia="標楷體" w:hAnsi="標楷體" w:cs="標楷體"/>
                <w:color w:val="000000"/>
              </w:rPr>
              <w:t xml:space="preserve">。 </w:t>
            </w:r>
          </w:p>
          <w:p w14:paraId="0732F082"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具備10個(含)以上虛擬防火牆功能，並至少提供10個(含)以上虛擬防火牆授權</w:t>
            </w:r>
            <w:r>
              <w:rPr>
                <w:rFonts w:ascii="標楷體" w:eastAsia="標楷體" w:hAnsi="標楷體" w:cs="標楷體"/>
                <w:color w:val="000000"/>
              </w:rPr>
              <w:t xml:space="preserve">。 </w:t>
            </w:r>
          </w:p>
          <w:p w14:paraId="484161C6"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提供匯出Netflow資訊或S-Flow資訊，以有效分析資料流，利於管理者根據攻擊發生時間檢視攻擊者或受攻擊者的行為</w:t>
            </w:r>
            <w:r>
              <w:rPr>
                <w:rFonts w:ascii="標楷體" w:eastAsia="標楷體" w:hAnsi="標楷體" w:cs="標楷體"/>
                <w:color w:val="000000"/>
              </w:rPr>
              <w:t>。</w:t>
            </w:r>
          </w:p>
          <w:p w14:paraId="0F50CBC3"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支援網路設備HA (High Availability)： Active-Active / Active-Passive等備援功能，使單機發生故障無法運作時備援設備接續運作</w:t>
            </w:r>
            <w:r>
              <w:rPr>
                <w:rFonts w:ascii="標楷體" w:eastAsia="標楷體" w:hAnsi="標楷體" w:cs="標楷體"/>
                <w:color w:val="000000"/>
              </w:rPr>
              <w:t xml:space="preserve">。 </w:t>
            </w:r>
          </w:p>
          <w:p w14:paraId="29A5C1B9"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FF0000"/>
              </w:rPr>
            </w:pPr>
            <w:r>
              <w:rPr>
                <w:rFonts w:ascii="標楷體" w:eastAsia="標楷體" w:hAnsi="標楷體" w:cs="標楷體"/>
                <w:color w:val="FF0000"/>
              </w:rPr>
              <w:t xml:space="preserve">防火牆產品設備品牌需為2024年Gartner安全服務邊緣(Security Service Edge，簡稱SSE) 魔力像限挑戰者(含)以上。 </w:t>
            </w:r>
          </w:p>
          <w:p w14:paraId="57058D6E"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本設備須具備SD-WAN(Software-defined networking in a wide area network軟體定義廣域網路)功能，以便未來線路擴充使用，可內建或搭配第三方軟體或硬體設備</w:t>
            </w:r>
            <w:r>
              <w:rPr>
                <w:rFonts w:ascii="標楷體" w:eastAsia="標楷體" w:hAnsi="標楷體" w:cs="標楷體"/>
                <w:color w:val="000000"/>
              </w:rPr>
              <w:t xml:space="preserve">。 </w:t>
            </w:r>
          </w:p>
          <w:p w14:paraId="0B0F89C9"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得標廠商須提供防火牆設備資安防護訂閱授權，須包含入侵防護、應用程式管控、進階惡意程式防護、網頁過濾、雲端沙箱等</w:t>
            </w:r>
            <w:r>
              <w:rPr>
                <w:rFonts w:ascii="標楷體" w:eastAsia="標楷體" w:hAnsi="標楷體" w:cs="標楷體"/>
                <w:color w:val="000000"/>
              </w:rPr>
              <w:t xml:space="preserve">。 </w:t>
            </w:r>
          </w:p>
          <w:p w14:paraId="6E2588CF"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防火牆特徵資料庫(Signature Database)需能透過網路更新，須提供</w:t>
            </w:r>
            <w:r>
              <w:rPr>
                <w:rFonts w:ascii="標楷體" w:eastAsia="標楷體" w:hAnsi="標楷體" w:cs="標楷體"/>
                <w:u w:val="single"/>
              </w:rPr>
              <w:t>5</w:t>
            </w:r>
            <w:r>
              <w:rPr>
                <w:rFonts w:ascii="標楷體" w:eastAsia="標楷體" w:hAnsi="標楷體" w:cs="標楷體"/>
              </w:rPr>
              <w:t>年(含)以上保固，並於保固期內免費提供特徵資料庫更新服務，得標廠商須提供原廠資料庫更新保固証明文件</w:t>
            </w:r>
            <w:r>
              <w:rPr>
                <w:rFonts w:ascii="標楷體" w:eastAsia="標楷體" w:hAnsi="標楷體" w:cs="標楷體"/>
                <w:color w:val="000000"/>
              </w:rPr>
              <w:t>。</w:t>
            </w:r>
          </w:p>
          <w:p w14:paraId="30FE4E28"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color w:val="000000"/>
              </w:rPr>
            </w:pPr>
            <w:r>
              <w:rPr>
                <w:rFonts w:ascii="標楷體" w:eastAsia="標楷體" w:hAnsi="標楷體" w:cs="標楷體"/>
              </w:rPr>
              <w:t>得標廠商須提供</w:t>
            </w:r>
            <w:r>
              <w:rPr>
                <w:rFonts w:ascii="標楷體" w:eastAsia="標楷體" w:hAnsi="標楷體" w:cs="標楷體"/>
                <w:u w:val="single"/>
              </w:rPr>
              <w:t>5</w:t>
            </w:r>
            <w:r>
              <w:rPr>
                <w:rFonts w:ascii="標楷體" w:eastAsia="標楷體" w:hAnsi="標楷體" w:cs="標楷體"/>
              </w:rPr>
              <w:t>年(含)以上設備硬體保固和韌體服務，須提供台灣地區原廠保固及新品証明文件</w:t>
            </w:r>
            <w:r>
              <w:rPr>
                <w:rFonts w:ascii="標楷體" w:eastAsia="標楷體" w:hAnsi="標楷體" w:cs="標楷體"/>
                <w:color w:val="000000"/>
              </w:rPr>
              <w:t>。</w:t>
            </w:r>
          </w:p>
          <w:p w14:paraId="2709302C"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投標產品設備不得為中國大陸製造或中國大陸品牌之資通訊產品。</w:t>
            </w:r>
          </w:p>
          <w:p w14:paraId="2689C115"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得標商須提供 5 年(含) License(DNS Filter、入侵防禦系統 ( IPS )、URL和網頁內容、進階惡意軟體防護功能授權服務。</w:t>
            </w:r>
          </w:p>
          <w:p w14:paraId="0DC105D8" w14:textId="77777777" w:rsidR="005B24FC" w:rsidRDefault="00B00988">
            <w:pPr>
              <w:widowControl/>
              <w:numPr>
                <w:ilvl w:val="0"/>
                <w:numId w:val="4"/>
              </w:numPr>
              <w:pBdr>
                <w:top w:val="nil"/>
                <w:left w:val="nil"/>
                <w:bottom w:val="nil"/>
                <w:right w:val="nil"/>
                <w:between w:val="nil"/>
              </w:pBdr>
              <w:spacing w:after="45" w:line="259" w:lineRule="auto"/>
              <w:rPr>
                <w:rFonts w:ascii="標楷體" w:eastAsia="標楷體" w:hAnsi="標楷體" w:cs="標楷體"/>
              </w:rPr>
            </w:pPr>
            <w:r>
              <w:rPr>
                <w:rFonts w:ascii="標楷體" w:eastAsia="標楷體" w:hAnsi="標楷體" w:cs="標楷體"/>
              </w:rPr>
              <w:t>設備本身須為 1U 機架高度，並可安裝在標準 19 吋機架上。</w:t>
            </w:r>
          </w:p>
          <w:p w14:paraId="4109E052" w14:textId="77777777" w:rsidR="005B24FC" w:rsidRDefault="005B24FC">
            <w:pPr>
              <w:widowControl/>
              <w:pBdr>
                <w:top w:val="nil"/>
                <w:left w:val="nil"/>
                <w:bottom w:val="nil"/>
                <w:right w:val="nil"/>
                <w:between w:val="nil"/>
              </w:pBdr>
              <w:spacing w:after="45" w:line="259" w:lineRule="auto"/>
              <w:rPr>
                <w:rFonts w:ascii="標楷體" w:eastAsia="標楷體" w:hAnsi="標楷體" w:cs="標楷體"/>
              </w:rPr>
            </w:pPr>
          </w:p>
        </w:tc>
        <w:tc>
          <w:tcPr>
            <w:tcW w:w="720" w:type="dxa"/>
            <w:tcBorders>
              <w:top w:val="single" w:sz="6" w:space="0" w:color="000000"/>
              <w:left w:val="single" w:sz="12" w:space="0" w:color="000000"/>
              <w:bottom w:val="single" w:sz="4" w:space="0" w:color="000000"/>
              <w:right w:val="single" w:sz="12" w:space="0" w:color="000000"/>
            </w:tcBorders>
          </w:tcPr>
          <w:p w14:paraId="32EF941D" w14:textId="77777777" w:rsidR="005B24FC" w:rsidRDefault="00B00988">
            <w:pPr>
              <w:spacing w:after="40"/>
              <w:ind w:left="239"/>
              <w:rPr>
                <w:rFonts w:ascii="標楷體" w:eastAsia="標楷體" w:hAnsi="標楷體" w:cs="標楷體"/>
              </w:rPr>
            </w:pPr>
            <w:r>
              <w:rPr>
                <w:rFonts w:ascii="標楷體" w:eastAsia="標楷體" w:hAnsi="標楷體" w:cs="標楷體"/>
              </w:rPr>
              <w:lastRenderedPageBreak/>
              <w:t xml:space="preserve">台 </w:t>
            </w:r>
          </w:p>
        </w:tc>
        <w:tc>
          <w:tcPr>
            <w:tcW w:w="750" w:type="dxa"/>
            <w:tcBorders>
              <w:top w:val="single" w:sz="6" w:space="0" w:color="000000"/>
              <w:left w:val="single" w:sz="12" w:space="0" w:color="000000"/>
              <w:bottom w:val="single" w:sz="4" w:space="0" w:color="000000"/>
              <w:right w:val="single" w:sz="12" w:space="0" w:color="000000"/>
            </w:tcBorders>
          </w:tcPr>
          <w:p w14:paraId="2C11ECB6" w14:textId="77777777" w:rsidR="005B24FC" w:rsidRDefault="00B00988">
            <w:pPr>
              <w:spacing w:after="60"/>
              <w:ind w:left="61"/>
              <w:jc w:val="center"/>
              <w:rPr>
                <w:rFonts w:ascii="標楷體" w:eastAsia="標楷體" w:hAnsi="標楷體" w:cs="標楷體"/>
              </w:rPr>
            </w:pPr>
            <w:r>
              <w:rPr>
                <w:rFonts w:ascii="標楷體" w:eastAsia="標楷體" w:hAnsi="標楷體" w:cs="標楷體"/>
              </w:rPr>
              <w:t>2</w:t>
            </w:r>
          </w:p>
        </w:tc>
      </w:tr>
      <w:tr w:rsidR="005B24FC" w14:paraId="3F8DC012" w14:textId="77777777">
        <w:trPr>
          <w:trHeight w:val="790"/>
        </w:trPr>
        <w:tc>
          <w:tcPr>
            <w:tcW w:w="750" w:type="dxa"/>
            <w:tcBorders>
              <w:top w:val="single" w:sz="6" w:space="0" w:color="000000"/>
              <w:left w:val="single" w:sz="12" w:space="0" w:color="000000"/>
              <w:right w:val="single" w:sz="12" w:space="0" w:color="000000"/>
            </w:tcBorders>
          </w:tcPr>
          <w:p w14:paraId="52F8825A" w14:textId="77777777" w:rsidR="005B24FC" w:rsidRDefault="00B00988">
            <w:pPr>
              <w:spacing w:after="60"/>
              <w:ind w:left="61"/>
              <w:jc w:val="center"/>
              <w:rPr>
                <w:rFonts w:ascii="標楷體" w:eastAsia="標楷體" w:hAnsi="標楷體" w:cs="標楷體"/>
              </w:rPr>
            </w:pPr>
            <w:r>
              <w:rPr>
                <w:rFonts w:ascii="標楷體" w:eastAsia="標楷體" w:hAnsi="標楷體" w:cs="標楷體"/>
              </w:rPr>
              <w:t>2</w:t>
            </w:r>
          </w:p>
        </w:tc>
        <w:tc>
          <w:tcPr>
            <w:tcW w:w="1110" w:type="dxa"/>
            <w:tcBorders>
              <w:top w:val="single" w:sz="6" w:space="0" w:color="000000"/>
              <w:left w:val="single" w:sz="12" w:space="0" w:color="000000"/>
              <w:bottom w:val="single" w:sz="4" w:space="0" w:color="000000"/>
              <w:right w:val="single" w:sz="12" w:space="0" w:color="000000"/>
            </w:tcBorders>
          </w:tcPr>
          <w:p w14:paraId="22ADA152" w14:textId="77777777" w:rsidR="005B24FC" w:rsidRDefault="00B00988">
            <w:pPr>
              <w:spacing w:after="41"/>
              <w:ind w:left="59"/>
              <w:jc w:val="center"/>
              <w:rPr>
                <w:rFonts w:ascii="標楷體" w:eastAsia="標楷體" w:hAnsi="標楷體" w:cs="標楷體"/>
              </w:rPr>
            </w:pPr>
            <w:r>
              <w:rPr>
                <w:rFonts w:ascii="標楷體" w:eastAsia="標楷體" w:hAnsi="標楷體" w:cs="標楷體"/>
              </w:rPr>
              <w:t>保固服務</w:t>
            </w:r>
          </w:p>
        </w:tc>
        <w:tc>
          <w:tcPr>
            <w:tcW w:w="6090" w:type="dxa"/>
            <w:tcBorders>
              <w:top w:val="single" w:sz="6" w:space="0" w:color="000000"/>
              <w:left w:val="single" w:sz="12" w:space="0" w:color="000000"/>
              <w:bottom w:val="single" w:sz="4" w:space="0" w:color="000000"/>
              <w:right w:val="single" w:sz="12" w:space="0" w:color="000000"/>
            </w:tcBorders>
          </w:tcPr>
          <w:p w14:paraId="7A128C78" w14:textId="77777777" w:rsidR="005B24FC" w:rsidRDefault="00B00988">
            <w:pPr>
              <w:widowControl/>
              <w:numPr>
                <w:ilvl w:val="0"/>
                <w:numId w:val="3"/>
              </w:numPr>
              <w:pBdr>
                <w:top w:val="nil"/>
                <w:left w:val="nil"/>
                <w:bottom w:val="nil"/>
                <w:right w:val="nil"/>
                <w:between w:val="nil"/>
              </w:pBdr>
              <w:spacing w:after="45" w:line="259" w:lineRule="auto"/>
              <w:rPr>
                <w:rFonts w:ascii="標楷體" w:eastAsia="標楷體" w:hAnsi="標楷體" w:cs="標楷體"/>
                <w:color w:val="000000"/>
                <w:szCs w:val="24"/>
              </w:rPr>
            </w:pPr>
            <w:r>
              <w:rPr>
                <w:rFonts w:ascii="標楷體" w:eastAsia="標楷體" w:hAnsi="標楷體" w:cs="標楷體"/>
                <w:color w:val="000000"/>
                <w:szCs w:val="24"/>
              </w:rPr>
              <w:t>5年保固服務</w:t>
            </w:r>
          </w:p>
        </w:tc>
        <w:tc>
          <w:tcPr>
            <w:tcW w:w="720" w:type="dxa"/>
            <w:tcBorders>
              <w:top w:val="single" w:sz="6" w:space="0" w:color="000000"/>
              <w:left w:val="single" w:sz="12" w:space="0" w:color="000000"/>
              <w:bottom w:val="single" w:sz="4" w:space="0" w:color="000000"/>
              <w:right w:val="single" w:sz="12" w:space="0" w:color="000000"/>
            </w:tcBorders>
          </w:tcPr>
          <w:p w14:paraId="34A3D4F3" w14:textId="77777777" w:rsidR="005B24FC" w:rsidRDefault="00B00988">
            <w:pPr>
              <w:spacing w:after="40"/>
              <w:ind w:left="239"/>
              <w:rPr>
                <w:rFonts w:ascii="標楷體" w:eastAsia="標楷體" w:hAnsi="標楷體" w:cs="標楷體"/>
              </w:rPr>
            </w:pPr>
            <w:r>
              <w:rPr>
                <w:rFonts w:ascii="標楷體" w:eastAsia="標楷體" w:hAnsi="標楷體" w:cs="標楷體"/>
              </w:rPr>
              <w:t>式</w:t>
            </w:r>
          </w:p>
        </w:tc>
        <w:tc>
          <w:tcPr>
            <w:tcW w:w="750" w:type="dxa"/>
            <w:tcBorders>
              <w:top w:val="single" w:sz="6" w:space="0" w:color="000000"/>
              <w:left w:val="single" w:sz="12" w:space="0" w:color="000000"/>
              <w:bottom w:val="single" w:sz="4" w:space="0" w:color="000000"/>
              <w:right w:val="single" w:sz="12" w:space="0" w:color="000000"/>
            </w:tcBorders>
          </w:tcPr>
          <w:p w14:paraId="0C2D43C6" w14:textId="77777777" w:rsidR="005B24FC" w:rsidRDefault="00B00988">
            <w:pPr>
              <w:spacing w:after="60"/>
              <w:ind w:left="61"/>
              <w:jc w:val="center"/>
              <w:rPr>
                <w:rFonts w:ascii="標楷體" w:eastAsia="標楷體" w:hAnsi="標楷體" w:cs="標楷體"/>
              </w:rPr>
            </w:pPr>
            <w:r>
              <w:rPr>
                <w:rFonts w:ascii="標楷體" w:eastAsia="標楷體" w:hAnsi="標楷體" w:cs="標楷體"/>
              </w:rPr>
              <w:t>1</w:t>
            </w:r>
          </w:p>
        </w:tc>
      </w:tr>
      <w:tr w:rsidR="005B24FC" w14:paraId="7DBE3A10" w14:textId="77777777">
        <w:trPr>
          <w:trHeight w:val="701"/>
        </w:trPr>
        <w:tc>
          <w:tcPr>
            <w:tcW w:w="750" w:type="dxa"/>
            <w:tcBorders>
              <w:top w:val="single" w:sz="12" w:space="0" w:color="000000"/>
              <w:left w:val="single" w:sz="12" w:space="0" w:color="000000"/>
              <w:bottom w:val="single" w:sz="12" w:space="0" w:color="000000"/>
              <w:right w:val="single" w:sz="12" w:space="0" w:color="000000"/>
            </w:tcBorders>
          </w:tcPr>
          <w:p w14:paraId="3C0E54C5" w14:textId="77777777" w:rsidR="005B24FC" w:rsidRDefault="00B00988">
            <w:pPr>
              <w:ind w:left="134" w:right="13"/>
              <w:jc w:val="center"/>
              <w:rPr>
                <w:rFonts w:ascii="標楷體" w:eastAsia="標楷體" w:hAnsi="標楷體" w:cs="標楷體"/>
              </w:rPr>
            </w:pPr>
            <w:r>
              <w:rPr>
                <w:rFonts w:ascii="標楷體" w:eastAsia="標楷體" w:hAnsi="標楷體" w:cs="標楷體"/>
              </w:rPr>
              <w:lastRenderedPageBreak/>
              <w:t xml:space="preserve">備註 </w:t>
            </w:r>
          </w:p>
        </w:tc>
        <w:tc>
          <w:tcPr>
            <w:tcW w:w="8670" w:type="dxa"/>
            <w:gridSpan w:val="4"/>
            <w:tcBorders>
              <w:top w:val="single" w:sz="12" w:space="0" w:color="000000"/>
              <w:left w:val="single" w:sz="12" w:space="0" w:color="000000"/>
              <w:bottom w:val="single" w:sz="12" w:space="0" w:color="000000"/>
              <w:right w:val="single" w:sz="12" w:space="0" w:color="000000"/>
            </w:tcBorders>
            <w:vAlign w:val="center"/>
          </w:tcPr>
          <w:p w14:paraId="0CD6E86E" w14:textId="77777777" w:rsidR="005B24FC" w:rsidRDefault="00B00988">
            <w:pPr>
              <w:pBdr>
                <w:top w:val="nil"/>
                <w:left w:val="nil"/>
                <w:bottom w:val="nil"/>
                <w:right w:val="nil"/>
                <w:between w:val="nil"/>
              </w:pBdr>
              <w:rPr>
                <w:rFonts w:ascii="標楷體" w:eastAsia="標楷體" w:hAnsi="標楷體" w:cs="標楷體"/>
                <w:color w:val="000000"/>
              </w:rPr>
            </w:pPr>
            <w:r>
              <w:rPr>
                <w:rFonts w:ascii="標楷體" w:eastAsia="標楷體" w:hAnsi="標楷體" w:cs="標楷體"/>
              </w:rPr>
              <w:t>一、</w:t>
            </w:r>
            <w:r>
              <w:rPr>
                <w:rFonts w:ascii="標楷體" w:eastAsia="標楷體" w:hAnsi="標楷體" w:cs="標楷體"/>
                <w:color w:val="000000"/>
              </w:rPr>
              <w:t xml:space="preserve">保固及維修： </w:t>
            </w:r>
          </w:p>
          <w:p w14:paraId="2B9F75CA" w14:textId="77777777" w:rsidR="005B24FC" w:rsidRDefault="00B00988">
            <w:pPr>
              <w:numPr>
                <w:ilvl w:val="1"/>
                <w:numId w:val="1"/>
              </w:numPr>
              <w:pBdr>
                <w:top w:val="nil"/>
                <w:left w:val="nil"/>
                <w:bottom w:val="nil"/>
                <w:right w:val="nil"/>
                <w:between w:val="nil"/>
              </w:pBdr>
              <w:ind w:left="992" w:hanging="425"/>
              <w:rPr>
                <w:rFonts w:ascii="標楷體" w:eastAsia="標楷體" w:hAnsi="標楷體" w:cs="標楷體"/>
                <w:color w:val="000000"/>
              </w:rPr>
            </w:pPr>
            <w:r>
              <w:rPr>
                <w:rFonts w:ascii="標楷體" w:eastAsia="標楷體" w:hAnsi="標楷體" w:cs="標楷體"/>
              </w:rPr>
              <w:t>得標廠商須於全案驗收合格日之次日起提供全案5年之設備免費保固與維護。得標廠商應於交貨時提供保固切結書</w:t>
            </w:r>
            <w:r>
              <w:rPr>
                <w:rFonts w:ascii="標楷體" w:eastAsia="標楷體" w:hAnsi="標楷體" w:cs="標楷體"/>
                <w:color w:val="000000"/>
              </w:rPr>
              <w:t>。</w:t>
            </w:r>
          </w:p>
          <w:p w14:paraId="1F769835" w14:textId="77777777" w:rsidR="005B24FC" w:rsidRDefault="00B00988">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 xml:space="preserve">在保固期間內，設備在正常使用下之發生任何故障狀況，得標廠商均應負責維修或改善，並不得收取任何費用。 </w:t>
            </w:r>
          </w:p>
          <w:p w14:paraId="23B9EA38" w14:textId="77777777" w:rsidR="005B24FC" w:rsidRDefault="00B00988">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得標廠商於接獲本公司故障通知後，應在 3小時內到本公司檢視或維修，並於 24 小時內將故障排除(含假日與連假)</w:t>
            </w:r>
            <w:r>
              <w:rPr>
                <w:rFonts w:ascii="標楷體" w:eastAsia="標楷體" w:hAnsi="標楷體" w:cs="標楷體"/>
                <w:color w:val="000000"/>
              </w:rPr>
              <w:t>。</w:t>
            </w:r>
          </w:p>
          <w:p w14:paraId="2E5B2C54" w14:textId="77777777" w:rsidR="005B24FC" w:rsidRDefault="00B00988">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若得標廠商無法在上述時限排除故障，得標廠商應提供功能相同且經本公司認可之機器替代使用，直至故障排除為止。</w:t>
            </w:r>
          </w:p>
          <w:p w14:paraId="7AC05F04" w14:textId="77777777" w:rsidR="005B24FC" w:rsidRDefault="00B00988">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color w:val="000000"/>
              </w:rPr>
              <w:t>保固之除外條款：不包括人為疏失損壞及天災地變不可抗力等因素。</w:t>
            </w:r>
          </w:p>
          <w:p w14:paraId="410A07C0" w14:textId="10F43D0D" w:rsidR="005B24FC" w:rsidRDefault="00B00988">
            <w:pPr>
              <w:numPr>
                <w:ilvl w:val="1"/>
                <w:numId w:val="1"/>
              </w:numPr>
              <w:pBdr>
                <w:top w:val="nil"/>
                <w:left w:val="nil"/>
                <w:bottom w:val="nil"/>
                <w:right w:val="nil"/>
                <w:between w:val="nil"/>
              </w:pBdr>
              <w:ind w:left="992" w:hanging="425"/>
              <w:rPr>
                <w:rFonts w:ascii="標楷體" w:eastAsia="標楷體" w:hAnsi="標楷體" w:cs="標楷體"/>
              </w:rPr>
            </w:pPr>
            <w:r>
              <w:rPr>
                <w:rFonts w:ascii="標楷體" w:eastAsia="標楷體" w:hAnsi="標楷體" w:cs="標楷體"/>
              </w:rPr>
              <w:t>得標廠商應保證自驗收合格日之次日起至少提供5年(含)之零件(或相同功能之可替代性零件)充足供應、不得提供5年內EOS產品。</w:t>
            </w:r>
          </w:p>
          <w:p w14:paraId="04D6CB15" w14:textId="1CFA6F57" w:rsidR="004171C3" w:rsidRDefault="004171C3">
            <w:pPr>
              <w:numPr>
                <w:ilvl w:val="1"/>
                <w:numId w:val="1"/>
              </w:numPr>
              <w:pBdr>
                <w:top w:val="nil"/>
                <w:left w:val="nil"/>
                <w:bottom w:val="nil"/>
                <w:right w:val="nil"/>
                <w:between w:val="nil"/>
              </w:pBdr>
              <w:ind w:left="992" w:hanging="425"/>
              <w:rPr>
                <w:rFonts w:ascii="標楷體" w:eastAsia="標楷體" w:hAnsi="標楷體" w:cs="標楷體"/>
              </w:rPr>
            </w:pPr>
            <w:r w:rsidRPr="004171C3">
              <w:rPr>
                <w:rFonts w:ascii="標楷體" w:eastAsia="標楷體" w:hAnsi="標楷體" w:cs="標楷體" w:hint="eastAsia"/>
              </w:rPr>
              <w:t>保固維護逾期違約以日為單位，得標廠商如未依照保固規定期限履約，應按逾期日數，每日依契約價金總額1%計算逾期違約金。</w:t>
            </w:r>
          </w:p>
          <w:p w14:paraId="38D82EC9"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二、交貨時應檢附下列文件:台灣地區原廠出具之出廠證明、新品證明、保固證明，設備如係進口貨則應另附海關進口證明文件(進口報單)</w:t>
            </w:r>
            <w:r>
              <w:rPr>
                <w:rFonts w:ascii="標楷體" w:eastAsia="標楷體" w:hAnsi="標楷體" w:cs="標楷體"/>
                <w:color w:val="000000"/>
              </w:rPr>
              <w:t xml:space="preserve">。 </w:t>
            </w:r>
          </w:p>
          <w:p w14:paraId="5887AD49"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三、硬體5年免費保固與維護之保固切結書。 </w:t>
            </w:r>
          </w:p>
          <w:p w14:paraId="680FA24F"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 xml:space="preserve">四、提供本案系統設備之完整接線圖、系統整合圖、工作流程圖、各項設備整體運作測試報告及所有維護管理手冊。 </w:t>
            </w:r>
          </w:p>
          <w:p w14:paraId="3AD293E8"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五、相關軟體之合法授權證明文件、原廠授權貼紙。</w:t>
            </w:r>
          </w:p>
          <w:p w14:paraId="3B80F1A4"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六、教育訓練資料。</w:t>
            </w:r>
          </w:p>
          <w:p w14:paraId="5CC2E98F" w14:textId="77777777" w:rsidR="005B24FC" w:rsidRDefault="00B00988">
            <w:pPr>
              <w:pBdr>
                <w:top w:val="nil"/>
                <w:left w:val="nil"/>
                <w:bottom w:val="nil"/>
                <w:right w:val="nil"/>
                <w:between w:val="nil"/>
              </w:pBdr>
              <w:ind w:left="566" w:hanging="566"/>
              <w:rPr>
                <w:rFonts w:ascii="標楷體" w:eastAsia="標楷體" w:hAnsi="標楷體" w:cs="標楷體"/>
              </w:rPr>
            </w:pPr>
            <w:r>
              <w:rPr>
                <w:rFonts w:ascii="標楷體" w:eastAsia="標楷體" w:hAnsi="標楷體" w:cs="標楷體"/>
              </w:rPr>
              <w:t>七、相關實體網路線材佈線及設備安裝設定(需按照客戶原需求施作)。</w:t>
            </w:r>
          </w:p>
          <w:p w14:paraId="1EBE187D" w14:textId="0A8EA3D1" w:rsidR="005B24FC" w:rsidRDefault="00B00988" w:rsidP="00062877">
            <w:pPr>
              <w:pBdr>
                <w:top w:val="nil"/>
                <w:left w:val="nil"/>
                <w:bottom w:val="nil"/>
                <w:right w:val="nil"/>
                <w:between w:val="nil"/>
              </w:pBdr>
              <w:ind w:left="566" w:hanging="566"/>
              <w:rPr>
                <w:rFonts w:ascii="標楷體" w:eastAsia="標楷體" w:hAnsi="標楷體" w:cs="標楷體"/>
                <w:color w:val="000000"/>
              </w:rPr>
            </w:pPr>
            <w:r>
              <w:rPr>
                <w:rFonts w:ascii="標楷體" w:eastAsia="標楷體" w:hAnsi="標楷體" w:cs="標楷體"/>
              </w:rPr>
              <w:t>八、</w:t>
            </w:r>
            <w:r>
              <w:rPr>
                <w:rFonts w:ascii="標楷體" w:eastAsia="標楷體" w:hAnsi="標楷體" w:cs="標楷體"/>
                <w:color w:val="FF0000"/>
              </w:rPr>
              <w:t>將本案所有購置的軟硬體設備同時運作，持續7天每天24小時正常運作提供服務，以驗證全系統的穩定性。倘該期間發生任何軟硬體故障、當機、重新開機、資料流失/損毀及網路中斷等問題，則須調校後重新進行評估。</w:t>
            </w:r>
          </w:p>
        </w:tc>
      </w:tr>
    </w:tbl>
    <w:p w14:paraId="05C68308" w14:textId="77777777" w:rsidR="005B24FC" w:rsidRDefault="005B24FC">
      <w:pPr>
        <w:spacing w:after="60"/>
        <w:ind w:right="2014"/>
        <w:rPr>
          <w:rFonts w:ascii="標楷體" w:eastAsia="標楷體" w:hAnsi="標楷體" w:cs="標楷體"/>
        </w:rPr>
      </w:pPr>
    </w:p>
    <w:p w14:paraId="2B9D9044" w14:textId="77777777" w:rsidR="005B24FC" w:rsidRDefault="00B00988">
      <w:pPr>
        <w:ind w:right="2014"/>
        <w:rPr>
          <w:rFonts w:ascii="標楷體" w:eastAsia="標楷體" w:hAnsi="標楷體" w:cs="標楷體"/>
        </w:rPr>
      </w:pPr>
      <w:r>
        <w:rPr>
          <w:rFonts w:ascii="標楷體" w:eastAsia="標楷體" w:hAnsi="標楷體" w:cs="標楷體"/>
        </w:rPr>
        <w:t xml:space="preserve">投標廠商用印處  </w:t>
      </w:r>
    </w:p>
    <w:p w14:paraId="56B449AF" w14:textId="77777777" w:rsidR="005B24FC" w:rsidRDefault="00B00988">
      <w:pPr>
        <w:spacing w:line="400" w:lineRule="auto"/>
        <w:rPr>
          <w:rFonts w:ascii="標楷體" w:eastAsia="標楷體" w:hAnsi="標楷體" w:cs="標楷體"/>
        </w:rPr>
      </w:pPr>
      <w:r>
        <w:rPr>
          <w:rFonts w:ascii="標楷體" w:eastAsia="標楷體" w:hAnsi="標楷體" w:cs="標楷體"/>
        </w:rPr>
        <w:t>廠    商(蓋公司章)：</w:t>
      </w:r>
    </w:p>
    <w:p w14:paraId="5D7B9544" w14:textId="77777777" w:rsidR="005B24FC" w:rsidRDefault="005B24FC">
      <w:pPr>
        <w:spacing w:line="400" w:lineRule="auto"/>
        <w:rPr>
          <w:rFonts w:ascii="標楷體" w:eastAsia="標楷體" w:hAnsi="標楷體" w:cs="標楷體"/>
        </w:rPr>
      </w:pPr>
    </w:p>
    <w:p w14:paraId="691A319C" w14:textId="77777777" w:rsidR="005B24FC" w:rsidRDefault="00B00988">
      <w:pPr>
        <w:ind w:right="2014"/>
        <w:rPr>
          <w:rFonts w:ascii="標楷體" w:eastAsia="標楷體" w:hAnsi="標楷體" w:cs="標楷體"/>
        </w:rPr>
      </w:pPr>
      <w:r>
        <w:rPr>
          <w:rFonts w:ascii="標楷體" w:eastAsia="標楷體" w:hAnsi="標楷體" w:cs="標楷體"/>
        </w:rPr>
        <w:t>負 責 人(加蓋印章)：</w:t>
      </w:r>
    </w:p>
    <w:p w14:paraId="2CEE1AB2" w14:textId="77777777" w:rsidR="005B24FC" w:rsidRDefault="00B00988">
      <w:pPr>
        <w:ind w:left="1487"/>
        <w:rPr>
          <w:rFonts w:ascii="標楷體" w:eastAsia="標楷體" w:hAnsi="標楷體" w:cs="標楷體"/>
        </w:rPr>
      </w:pPr>
      <w:r>
        <w:rPr>
          <w:rFonts w:ascii="標楷體" w:eastAsia="標楷體" w:hAnsi="標楷體" w:cs="標楷體"/>
        </w:rPr>
        <w:t xml:space="preserve">                                    年    月    日  </w:t>
      </w:r>
    </w:p>
    <w:p w14:paraId="4582DD27" w14:textId="77777777" w:rsidR="005B24FC" w:rsidRDefault="005B24FC">
      <w:pPr>
        <w:widowControl/>
        <w:jc w:val="center"/>
        <w:rPr>
          <w:rFonts w:ascii="標楷體" w:eastAsia="標楷體" w:hAnsi="標楷體" w:cs="標楷體"/>
          <w:b/>
        </w:rPr>
      </w:pPr>
    </w:p>
    <w:sectPr w:rsidR="005B24FC">
      <w:footerReference w:type="default" r:id="rId8"/>
      <w:footerReference w:type="first" r:id="rId9"/>
      <w:pgSz w:w="11906" w:h="16838"/>
      <w:pgMar w:top="1440" w:right="1800" w:bottom="1440" w:left="1800" w:header="851" w:footer="992"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03CB9" w14:textId="77777777" w:rsidR="00307A23" w:rsidRDefault="00307A23">
      <w:r>
        <w:separator/>
      </w:r>
    </w:p>
  </w:endnote>
  <w:endnote w:type="continuationSeparator" w:id="0">
    <w:p w14:paraId="043D1F06" w14:textId="77777777" w:rsidR="00307A23" w:rsidRDefault="0030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6ABDE" w14:textId="77777777" w:rsidR="005B24FC" w:rsidRDefault="00B00988">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5B6E52">
      <w:rPr>
        <w:noProof/>
        <w:color w:val="000000"/>
        <w:sz w:val="20"/>
        <w:szCs w:val="20"/>
      </w:rPr>
      <w:t>2</w:t>
    </w:r>
    <w:r>
      <w:rPr>
        <w:color w:val="000000"/>
        <w:sz w:val="20"/>
        <w:szCs w:val="20"/>
      </w:rPr>
      <w:fldChar w:fldCharType="end"/>
    </w:r>
  </w:p>
  <w:p w14:paraId="725C6D4A" w14:textId="77777777" w:rsidR="005B24FC" w:rsidRDefault="005B24FC">
    <w:pPr>
      <w:pBdr>
        <w:top w:val="nil"/>
        <w:left w:val="nil"/>
        <w:bottom w:val="nil"/>
        <w:right w:val="nil"/>
        <w:between w:val="nil"/>
      </w:pBdr>
      <w:tabs>
        <w:tab w:val="center" w:pos="4153"/>
        <w:tab w:val="right" w:pos="8306"/>
      </w:tabs>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7E335" w14:textId="77777777" w:rsidR="005B24FC" w:rsidRDefault="00B00988">
    <w:pPr>
      <w:pBdr>
        <w:top w:val="nil"/>
        <w:left w:val="nil"/>
        <w:bottom w:val="nil"/>
        <w:right w:val="nil"/>
        <w:between w:val="nil"/>
      </w:pBdr>
      <w:tabs>
        <w:tab w:val="center" w:pos="4153"/>
        <w:tab w:val="right" w:pos="8306"/>
      </w:tabs>
      <w:jc w:val="right"/>
      <w:rPr>
        <w:color w:val="000000"/>
        <w:sz w:val="20"/>
        <w:szCs w:val="20"/>
      </w:rPr>
    </w:pPr>
    <w:r>
      <w:rPr>
        <w:color w:val="000000"/>
        <w:sz w:val="20"/>
        <w:szCs w:val="20"/>
      </w:rPr>
      <w:t>P</w:t>
    </w:r>
    <w:r>
      <w:rPr>
        <w:color w:val="000000"/>
        <w:sz w:val="20"/>
        <w:szCs w:val="20"/>
      </w:rPr>
      <w:fldChar w:fldCharType="begin"/>
    </w:r>
    <w:r>
      <w:rPr>
        <w:color w:val="000000"/>
        <w:sz w:val="20"/>
        <w:szCs w:val="20"/>
      </w:rPr>
      <w:instrText>PAGE</w:instrText>
    </w:r>
    <w:r>
      <w:rPr>
        <w:color w:val="000000"/>
        <w:sz w:val="20"/>
        <w:szCs w:val="20"/>
      </w:rPr>
      <w:fldChar w:fldCharType="separate"/>
    </w:r>
    <w:r w:rsidR="005B6E52">
      <w:rPr>
        <w:noProof/>
        <w:color w:val="000000"/>
        <w:sz w:val="20"/>
        <w:szCs w:val="20"/>
      </w:rPr>
      <w:t>1</w:t>
    </w:r>
    <w:r>
      <w:rPr>
        <w:color w:val="000000"/>
        <w:sz w:val="20"/>
        <w:szCs w:val="20"/>
      </w:rPr>
      <w:fldChar w:fldCharType="end"/>
    </w:r>
  </w:p>
  <w:p w14:paraId="5284422B" w14:textId="77777777" w:rsidR="005B24FC" w:rsidRDefault="005B24FC">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36B41" w14:textId="77777777" w:rsidR="00307A23" w:rsidRDefault="00307A23">
      <w:r>
        <w:separator/>
      </w:r>
    </w:p>
  </w:footnote>
  <w:footnote w:type="continuationSeparator" w:id="0">
    <w:p w14:paraId="3D8924A0" w14:textId="77777777" w:rsidR="00307A23" w:rsidRDefault="00307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559AD"/>
    <w:multiLevelType w:val="multilevel"/>
    <w:tmpl w:val="2B3AA5F8"/>
    <w:lvl w:ilvl="0">
      <w:start w:val="1"/>
      <w:numFmt w:val="decimal"/>
      <w:pStyle w:val="a"/>
      <w:lvlText w:val="%1."/>
      <w:lvlJc w:val="left"/>
      <w:pPr>
        <w:ind w:left="480" w:hanging="480"/>
      </w:pPr>
    </w:lvl>
    <w:lvl w:ilvl="1">
      <w:start w:val="1"/>
      <w:numFmt w:val="decimal"/>
      <w:pStyle w:val="a0"/>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190B78C4"/>
    <w:multiLevelType w:val="multilevel"/>
    <w:tmpl w:val="9E0823F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2A105C48"/>
    <w:multiLevelType w:val="multilevel"/>
    <w:tmpl w:val="F98AD414"/>
    <w:lvl w:ilvl="0">
      <w:start w:val="1"/>
      <w:numFmt w:val="decimal"/>
      <w:lvlText w:val="(%1)"/>
      <w:lvlJc w:val="left"/>
      <w:pPr>
        <w:ind w:left="1440" w:hanging="480"/>
      </w:pPr>
    </w:lvl>
    <w:lvl w:ilvl="1">
      <w:start w:val="1"/>
      <w:numFmt w:val="decimal"/>
      <w:lvlText w:val="%2、"/>
      <w:lvlJc w:val="left"/>
      <w:pPr>
        <w:ind w:left="1920" w:hanging="480"/>
      </w:pPr>
    </w:lvl>
    <w:lvl w:ilvl="2">
      <w:start w:val="1"/>
      <w:numFmt w:val="lowerRoman"/>
      <w:lvlText w:val="%3."/>
      <w:lvlJc w:val="right"/>
      <w:pPr>
        <w:ind w:left="2400" w:hanging="480"/>
      </w:pPr>
    </w:lvl>
    <w:lvl w:ilvl="3">
      <w:start w:val="1"/>
      <w:numFmt w:val="decimal"/>
      <w:lvlText w:val="%4."/>
      <w:lvlJc w:val="left"/>
      <w:pPr>
        <w:ind w:left="2880" w:hanging="480"/>
      </w:pPr>
    </w:lvl>
    <w:lvl w:ilvl="4">
      <w:start w:val="1"/>
      <w:numFmt w:val="decimal"/>
      <w:lvlText w:val="%5、"/>
      <w:lvlJc w:val="left"/>
      <w:pPr>
        <w:ind w:left="3360" w:hanging="480"/>
      </w:pPr>
    </w:lvl>
    <w:lvl w:ilvl="5">
      <w:start w:val="1"/>
      <w:numFmt w:val="lowerRoman"/>
      <w:lvlText w:val="%6."/>
      <w:lvlJc w:val="right"/>
      <w:pPr>
        <w:ind w:left="3840" w:hanging="480"/>
      </w:pPr>
    </w:lvl>
    <w:lvl w:ilvl="6">
      <w:start w:val="1"/>
      <w:numFmt w:val="decimal"/>
      <w:lvlText w:val="%7."/>
      <w:lvlJc w:val="left"/>
      <w:pPr>
        <w:ind w:left="4320" w:hanging="480"/>
      </w:pPr>
    </w:lvl>
    <w:lvl w:ilvl="7">
      <w:start w:val="1"/>
      <w:numFmt w:val="decimal"/>
      <w:lvlText w:val="%8、"/>
      <w:lvlJc w:val="left"/>
      <w:pPr>
        <w:ind w:left="4800" w:hanging="480"/>
      </w:pPr>
    </w:lvl>
    <w:lvl w:ilvl="8">
      <w:start w:val="1"/>
      <w:numFmt w:val="lowerRoman"/>
      <w:lvlText w:val="%9."/>
      <w:lvlJc w:val="right"/>
      <w:pPr>
        <w:ind w:left="5280" w:hanging="480"/>
      </w:pPr>
    </w:lvl>
  </w:abstractNum>
  <w:abstractNum w:abstractNumId="3" w15:restartNumberingAfterBreak="0">
    <w:nsid w:val="6F667070"/>
    <w:multiLevelType w:val="multilevel"/>
    <w:tmpl w:val="75444BE4"/>
    <w:lvl w:ilvl="0">
      <w:start w:val="1"/>
      <w:numFmt w:val="decimal"/>
      <w:lvlText w:val="%1、"/>
      <w:lvlJc w:val="left"/>
      <w:pPr>
        <w:ind w:left="567" w:hanging="567"/>
      </w:pPr>
      <w:rPr>
        <w:rFonts w:ascii="Times New Roman" w:eastAsia="Times New Roman" w:hAnsi="Times New Roman" w:cs="Times New Roman"/>
        <w:b w:val="0"/>
        <w:i w:val="0"/>
        <w:smallCaps w:val="0"/>
        <w:strike w:val="0"/>
        <w:color w:val="000000"/>
        <w:sz w:val="22"/>
        <w:szCs w:val="22"/>
        <w:u w:val="none"/>
        <w:vertAlign w:val="baseline"/>
      </w:rPr>
    </w:lvl>
    <w:lvl w:ilvl="1">
      <w:start w:val="1"/>
      <w:numFmt w:val="decimal"/>
      <w:lvlText w:val="%2、"/>
      <w:lvlJc w:val="left"/>
      <w:pPr>
        <w:ind w:left="907" w:hanging="340"/>
      </w:pPr>
      <w:rPr>
        <w:b w:val="0"/>
        <w:i w:val="0"/>
        <w:sz w:val="28"/>
        <w:szCs w:val="28"/>
      </w:rPr>
    </w:lvl>
    <w:lvl w:ilvl="2">
      <w:start w:val="1"/>
      <w:numFmt w:val="decimal"/>
      <w:lvlText w:val="%2-%3、"/>
      <w:lvlJc w:val="left"/>
      <w:pPr>
        <w:ind w:left="1418" w:hanging="454"/>
      </w:pPr>
    </w:lvl>
    <w:lvl w:ilvl="3">
      <w:start w:val="1"/>
      <w:numFmt w:val="decimal"/>
      <w:lvlText w:val="%2-%3-%4、"/>
      <w:lvlJc w:val="left"/>
      <w:pPr>
        <w:ind w:left="1928" w:hanging="510"/>
      </w:pPr>
    </w:lvl>
    <w:lvl w:ilvl="4">
      <w:start w:val="1"/>
      <w:numFmt w:val="decimal"/>
      <w:lvlText w:val="%1.%2.%3.%4.%5"/>
      <w:lvlJc w:val="left"/>
      <w:pPr>
        <w:ind w:left="2835" w:hanging="567"/>
      </w:pPr>
    </w:lvl>
    <w:lvl w:ilvl="5">
      <w:start w:val="1"/>
      <w:numFmt w:val="decimal"/>
      <w:lvlText w:val="%1.%2.%3.%4.%5.%6"/>
      <w:lvlJc w:val="left"/>
      <w:pPr>
        <w:ind w:left="3402" w:hanging="567"/>
      </w:pPr>
    </w:lvl>
    <w:lvl w:ilvl="6">
      <w:start w:val="1"/>
      <w:numFmt w:val="decimal"/>
      <w:lvlText w:val="%1.%2.%3.%4.%5.%6.%7"/>
      <w:lvlJc w:val="left"/>
      <w:pPr>
        <w:ind w:left="3969" w:hanging="567"/>
      </w:pPr>
    </w:lvl>
    <w:lvl w:ilvl="7">
      <w:start w:val="1"/>
      <w:numFmt w:val="decimal"/>
      <w:lvlText w:val="%1.%2.%3.%4.%5.%6.%7.%8"/>
      <w:lvlJc w:val="left"/>
      <w:pPr>
        <w:ind w:left="4536" w:hanging="566"/>
      </w:pPr>
    </w:lvl>
    <w:lvl w:ilvl="8">
      <w:start w:val="1"/>
      <w:numFmt w:val="decimal"/>
      <w:lvlText w:val="%1.%2.%3.%4.%5.%6.%7.%8.%9"/>
      <w:lvlJc w:val="left"/>
      <w:pPr>
        <w:ind w:left="5103" w:hanging="567"/>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4FC"/>
    <w:rsid w:val="00062877"/>
    <w:rsid w:val="00101B2A"/>
    <w:rsid w:val="00307A23"/>
    <w:rsid w:val="004171C3"/>
    <w:rsid w:val="005B24FC"/>
    <w:rsid w:val="005B6E52"/>
    <w:rsid w:val="005F255D"/>
    <w:rsid w:val="00B00988"/>
    <w:rsid w:val="00D204C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3AE9C7"/>
  <w15:docId w15:val="{17B5E61D-8D25-4752-89C1-D95EB92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D7BA7"/>
    <w:rPr>
      <w:kern w:val="2"/>
      <w:szCs w:val="22"/>
    </w:rPr>
  </w:style>
  <w:style w:type="paragraph" w:styleId="1">
    <w:name w:val="heading 1"/>
    <w:basedOn w:val="a1"/>
    <w:next w:val="a1"/>
    <w:link w:val="10"/>
    <w:uiPriority w:val="9"/>
    <w:qFormat/>
    <w:rsid w:val="00C6793B"/>
    <w:pPr>
      <w:keepNext/>
      <w:spacing w:before="180" w:after="180" w:line="720" w:lineRule="auto"/>
      <w:outlineLvl w:val="0"/>
    </w:pPr>
    <w:rPr>
      <w:rFonts w:ascii="Calibri Light" w:hAnsi="Calibri Light"/>
      <w:b/>
      <w:bCs/>
      <w:kern w:val="52"/>
      <w:sz w:val="52"/>
      <w:szCs w:val="52"/>
    </w:rPr>
  </w:style>
  <w:style w:type="paragraph" w:styleId="2">
    <w:name w:val="heading 2"/>
    <w:basedOn w:val="a1"/>
    <w:next w:val="a1"/>
    <w:link w:val="20"/>
    <w:uiPriority w:val="9"/>
    <w:semiHidden/>
    <w:unhideWhenUsed/>
    <w:qFormat/>
    <w:rsid w:val="008972CC"/>
    <w:pPr>
      <w:keepNext/>
      <w:spacing w:line="720" w:lineRule="auto"/>
      <w:outlineLvl w:val="1"/>
    </w:pPr>
    <w:rPr>
      <w:rFonts w:ascii="Calibri Light" w:hAnsi="Calibri Light"/>
      <w:b/>
      <w:bCs/>
      <w:sz w:val="48"/>
      <w:szCs w:val="48"/>
    </w:rPr>
  </w:style>
  <w:style w:type="paragraph" w:styleId="3">
    <w:name w:val="heading 3"/>
    <w:basedOn w:val="a1"/>
    <w:next w:val="a1"/>
    <w:uiPriority w:val="9"/>
    <w:semiHidden/>
    <w:unhideWhenUsed/>
    <w:qFormat/>
    <w:pPr>
      <w:keepNext/>
      <w:keepLines/>
      <w:spacing w:before="280" w:after="80"/>
      <w:outlineLvl w:val="2"/>
    </w:pPr>
    <w:rPr>
      <w:b/>
      <w:sz w:val="28"/>
      <w:szCs w:val="28"/>
    </w:rPr>
  </w:style>
  <w:style w:type="paragraph" w:styleId="4">
    <w:name w:val="heading 4"/>
    <w:basedOn w:val="a1"/>
    <w:next w:val="a1"/>
    <w:uiPriority w:val="9"/>
    <w:semiHidden/>
    <w:unhideWhenUsed/>
    <w:qFormat/>
    <w:pPr>
      <w:keepNext/>
      <w:keepLines/>
      <w:spacing w:before="240" w:after="40"/>
      <w:outlineLvl w:val="3"/>
    </w:pPr>
    <w:rPr>
      <w:b/>
      <w:szCs w:val="24"/>
    </w:rPr>
  </w:style>
  <w:style w:type="paragraph" w:styleId="5">
    <w:name w:val="heading 5"/>
    <w:basedOn w:val="a1"/>
    <w:next w:val="a1"/>
    <w:uiPriority w:val="9"/>
    <w:semiHidden/>
    <w:unhideWhenUsed/>
    <w:qFormat/>
    <w:pPr>
      <w:keepNext/>
      <w:keepLines/>
      <w:spacing w:before="220" w:after="40"/>
      <w:outlineLvl w:val="4"/>
    </w:pPr>
    <w:rPr>
      <w:b/>
      <w:sz w:val="22"/>
    </w:rPr>
  </w:style>
  <w:style w:type="paragraph" w:styleId="6">
    <w:name w:val="heading 6"/>
    <w:basedOn w:val="a1"/>
    <w:next w:val="a1"/>
    <w:uiPriority w:val="9"/>
    <w:semiHidden/>
    <w:unhideWhenUsed/>
    <w:qFormat/>
    <w:pPr>
      <w:keepNext/>
      <w:keepLines/>
      <w:spacing w:before="200" w:after="40"/>
      <w:outlineLvl w:val="5"/>
    </w:pPr>
    <w:rPr>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5">
    <w:name w:val="Title"/>
    <w:basedOn w:val="a1"/>
    <w:next w:val="a1"/>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character" w:customStyle="1" w:styleId="10">
    <w:name w:val="標題 1 字元"/>
    <w:link w:val="1"/>
    <w:uiPriority w:val="99"/>
    <w:locked/>
    <w:rsid w:val="00C6793B"/>
    <w:rPr>
      <w:rFonts w:ascii="Calibri Light" w:eastAsia="新細明體" w:hAnsi="Calibri Light" w:cs="Times New Roman"/>
      <w:b/>
      <w:bCs/>
      <w:kern w:val="52"/>
      <w:sz w:val="52"/>
      <w:szCs w:val="52"/>
    </w:rPr>
  </w:style>
  <w:style w:type="character" w:customStyle="1" w:styleId="20">
    <w:name w:val="標題 2 字元"/>
    <w:link w:val="2"/>
    <w:uiPriority w:val="99"/>
    <w:locked/>
    <w:rsid w:val="008972CC"/>
    <w:rPr>
      <w:rFonts w:ascii="Calibri Light" w:eastAsia="新細明體" w:hAnsi="Calibri Light" w:cs="Times New Roman"/>
      <w:b/>
      <w:bCs/>
      <w:sz w:val="48"/>
      <w:szCs w:val="48"/>
    </w:rPr>
  </w:style>
  <w:style w:type="paragraph" w:customStyle="1" w:styleId="Default">
    <w:name w:val="Default"/>
    <w:uiPriority w:val="99"/>
    <w:rsid w:val="00BE03E8"/>
    <w:pPr>
      <w:autoSpaceDE w:val="0"/>
      <w:autoSpaceDN w:val="0"/>
      <w:adjustRightInd w:val="0"/>
    </w:pPr>
    <w:rPr>
      <w:rFonts w:ascii="標楷體" w:eastAsia="標楷體" w:cs="標楷體"/>
      <w:color w:val="000000"/>
    </w:rPr>
  </w:style>
  <w:style w:type="paragraph" w:styleId="a6">
    <w:name w:val="header"/>
    <w:basedOn w:val="a1"/>
    <w:link w:val="a7"/>
    <w:uiPriority w:val="99"/>
    <w:rsid w:val="00C93617"/>
    <w:pPr>
      <w:tabs>
        <w:tab w:val="center" w:pos="4153"/>
        <w:tab w:val="right" w:pos="8306"/>
      </w:tabs>
      <w:snapToGrid w:val="0"/>
    </w:pPr>
    <w:rPr>
      <w:sz w:val="20"/>
      <w:szCs w:val="20"/>
    </w:rPr>
  </w:style>
  <w:style w:type="character" w:customStyle="1" w:styleId="a7">
    <w:name w:val="頁首 字元"/>
    <w:link w:val="a6"/>
    <w:uiPriority w:val="99"/>
    <w:locked/>
    <w:rsid w:val="00C93617"/>
    <w:rPr>
      <w:rFonts w:cs="Times New Roman"/>
      <w:sz w:val="20"/>
      <w:szCs w:val="20"/>
    </w:rPr>
  </w:style>
  <w:style w:type="paragraph" w:styleId="a8">
    <w:name w:val="footer"/>
    <w:basedOn w:val="a1"/>
    <w:link w:val="a9"/>
    <w:uiPriority w:val="99"/>
    <w:rsid w:val="00C93617"/>
    <w:pPr>
      <w:tabs>
        <w:tab w:val="center" w:pos="4153"/>
        <w:tab w:val="right" w:pos="8306"/>
      </w:tabs>
      <w:snapToGrid w:val="0"/>
    </w:pPr>
    <w:rPr>
      <w:sz w:val="20"/>
      <w:szCs w:val="20"/>
    </w:rPr>
  </w:style>
  <w:style w:type="character" w:customStyle="1" w:styleId="a9">
    <w:name w:val="頁尾 字元"/>
    <w:link w:val="a8"/>
    <w:uiPriority w:val="99"/>
    <w:locked/>
    <w:rsid w:val="00C93617"/>
    <w:rPr>
      <w:rFonts w:cs="Times New Roman"/>
      <w:sz w:val="20"/>
      <w:szCs w:val="20"/>
    </w:rPr>
  </w:style>
  <w:style w:type="paragraph" w:styleId="aa">
    <w:name w:val="List Paragraph"/>
    <w:basedOn w:val="a1"/>
    <w:uiPriority w:val="99"/>
    <w:qFormat/>
    <w:rsid w:val="000269DC"/>
    <w:pPr>
      <w:ind w:leftChars="200" w:left="480"/>
    </w:pPr>
  </w:style>
  <w:style w:type="paragraph" w:styleId="ab">
    <w:name w:val="Normal Indent"/>
    <w:basedOn w:val="a1"/>
    <w:uiPriority w:val="99"/>
    <w:semiHidden/>
    <w:rsid w:val="00C416EA"/>
    <w:pPr>
      <w:ind w:left="1800" w:hanging="541"/>
    </w:pPr>
    <w:rPr>
      <w:rFonts w:ascii="Times New Roman" w:hAnsi="Times New Roman"/>
      <w:szCs w:val="20"/>
    </w:rPr>
  </w:style>
  <w:style w:type="paragraph" w:styleId="ac">
    <w:name w:val="No Spacing"/>
    <w:uiPriority w:val="99"/>
    <w:qFormat/>
    <w:rsid w:val="00755F7D"/>
    <w:rPr>
      <w:kern w:val="2"/>
      <w:szCs w:val="22"/>
    </w:rPr>
  </w:style>
  <w:style w:type="paragraph" w:customStyle="1" w:styleId="a">
    <w:name w:val="項目標題"/>
    <w:basedOn w:val="a1"/>
    <w:next w:val="a0"/>
    <w:link w:val="ad"/>
    <w:autoRedefine/>
    <w:uiPriority w:val="99"/>
    <w:rsid w:val="00D47E4F"/>
    <w:pPr>
      <w:numPr>
        <w:numId w:val="3"/>
      </w:numPr>
      <w:spacing w:beforeLines="50" w:afterLines="50" w:line="240" w:lineRule="atLeast"/>
      <w:ind w:left="482" w:rightChars="-89" w:right="-214" w:hanging="482"/>
      <w:outlineLvl w:val="0"/>
    </w:pPr>
    <w:rPr>
      <w:rFonts w:ascii="標楷體" w:eastAsia="標楷體" w:hAnsi="標楷體"/>
      <w:b/>
      <w:bCs/>
      <w:sz w:val="36"/>
      <w:szCs w:val="28"/>
    </w:rPr>
  </w:style>
  <w:style w:type="paragraph" w:customStyle="1" w:styleId="a0">
    <w:name w:val="項目"/>
    <w:basedOn w:val="a1"/>
    <w:link w:val="ae"/>
    <w:autoRedefine/>
    <w:uiPriority w:val="99"/>
    <w:rsid w:val="00B033D5"/>
    <w:pPr>
      <w:numPr>
        <w:ilvl w:val="1"/>
        <w:numId w:val="3"/>
      </w:numPr>
      <w:spacing w:line="240" w:lineRule="atLeast"/>
      <w:outlineLvl w:val="1"/>
    </w:pPr>
    <w:rPr>
      <w:rFonts w:ascii="Times New Roman" w:eastAsia="標楷體" w:hAnsi="Times New Roman"/>
      <w:kern w:val="0"/>
      <w:sz w:val="28"/>
    </w:rPr>
  </w:style>
  <w:style w:type="character" w:customStyle="1" w:styleId="ad">
    <w:name w:val="項目標題 字元"/>
    <w:link w:val="a"/>
    <w:uiPriority w:val="99"/>
    <w:locked/>
    <w:rsid w:val="00D47E4F"/>
    <w:rPr>
      <w:rFonts w:ascii="標楷體" w:eastAsia="標楷體" w:hAnsi="標楷體" w:cs="Times New Roman"/>
      <w:b/>
      <w:bCs/>
      <w:kern w:val="2"/>
      <w:sz w:val="28"/>
      <w:szCs w:val="28"/>
      <w:lang w:val="en-US" w:eastAsia="zh-TW" w:bidi="ar-SA"/>
    </w:rPr>
  </w:style>
  <w:style w:type="character" w:customStyle="1" w:styleId="ae">
    <w:name w:val="項目 字元"/>
    <w:link w:val="a0"/>
    <w:uiPriority w:val="99"/>
    <w:locked/>
    <w:rsid w:val="00B033D5"/>
    <w:rPr>
      <w:rFonts w:eastAsia="標楷體" w:cs="Times New Roman"/>
      <w:sz w:val="22"/>
      <w:szCs w:val="22"/>
      <w:lang w:val="en-US" w:eastAsia="zh-TW" w:bidi="ar-SA"/>
    </w:rPr>
  </w:style>
  <w:style w:type="paragraph" w:styleId="af">
    <w:name w:val="Balloon Text"/>
    <w:basedOn w:val="a1"/>
    <w:link w:val="af0"/>
    <w:uiPriority w:val="99"/>
    <w:semiHidden/>
    <w:rsid w:val="004371B4"/>
    <w:rPr>
      <w:rFonts w:ascii="Calibri Light" w:hAnsi="Calibri Light"/>
      <w:sz w:val="18"/>
      <w:szCs w:val="18"/>
    </w:rPr>
  </w:style>
  <w:style w:type="character" w:customStyle="1" w:styleId="af0">
    <w:name w:val="註解方塊文字 字元"/>
    <w:link w:val="af"/>
    <w:uiPriority w:val="99"/>
    <w:semiHidden/>
    <w:locked/>
    <w:rsid w:val="004371B4"/>
    <w:rPr>
      <w:rFonts w:ascii="Calibri Light" w:eastAsia="新細明體" w:hAnsi="Calibri Light" w:cs="Times New Roman"/>
      <w:sz w:val="18"/>
      <w:szCs w:val="18"/>
    </w:rPr>
  </w:style>
  <w:style w:type="table" w:customStyle="1" w:styleId="TableGrid">
    <w:name w:val="TableGrid"/>
    <w:rsid w:val="00C054DA"/>
    <w:rPr>
      <w:kern w:val="2"/>
      <w:szCs w:val="22"/>
    </w:rPr>
    <w:tblPr>
      <w:tblCellMar>
        <w:top w:w="0" w:type="dxa"/>
        <w:left w:w="0" w:type="dxa"/>
        <w:bottom w:w="0" w:type="dxa"/>
        <w:right w:w="0" w:type="dxa"/>
      </w:tblCellMar>
    </w:tblPr>
  </w:style>
  <w:style w:type="paragraph" w:styleId="Web">
    <w:name w:val="Normal (Web)"/>
    <w:basedOn w:val="a1"/>
    <w:uiPriority w:val="99"/>
    <w:semiHidden/>
    <w:unhideWhenUsed/>
    <w:rsid w:val="00723CB1"/>
    <w:pPr>
      <w:widowControl/>
      <w:spacing w:before="100" w:beforeAutospacing="1" w:after="100" w:afterAutospacing="1"/>
    </w:pPr>
    <w:rPr>
      <w:rFonts w:ascii="新細明體" w:hAnsi="新細明體" w:cs="新細明體"/>
      <w:kern w:val="0"/>
      <w:szCs w:val="24"/>
    </w:rPr>
  </w:style>
  <w:style w:type="character" w:customStyle="1" w:styleId="qowt-font3-dfkaisb">
    <w:name w:val="qowt-font3-dfkaisb"/>
    <w:basedOn w:val="a2"/>
    <w:rsid w:val="00F252F6"/>
  </w:style>
  <w:style w:type="character" w:customStyle="1" w:styleId="qowt-font2">
    <w:name w:val="qowt-font2"/>
    <w:basedOn w:val="a2"/>
    <w:rsid w:val="00C714BB"/>
  </w:style>
  <w:style w:type="paragraph" w:styleId="af1">
    <w:name w:val="Subtitle"/>
    <w:basedOn w:val="a1"/>
    <w:next w:val="a1"/>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2"/>
    <w:tblPr>
      <w:tblStyleRowBandSize w:val="1"/>
      <w:tblStyleColBandSize w:val="1"/>
      <w:tblCellMar>
        <w:top w:w="46" w:type="dxa"/>
        <w:right w:w="61" w:type="dxa"/>
      </w:tblCellMar>
    </w:tblPr>
  </w:style>
  <w:style w:type="table" w:customStyle="1" w:styleId="af3">
    <w:basedOn w:val="TableNormal2"/>
    <w:tblPr>
      <w:tblStyleRowBandSize w:val="1"/>
      <w:tblStyleColBandSize w:val="1"/>
      <w:tblCellMar>
        <w:top w:w="46" w:type="dxa"/>
        <w:right w:w="61" w:type="dxa"/>
      </w:tblCellMar>
    </w:tblPr>
  </w:style>
  <w:style w:type="table" w:customStyle="1" w:styleId="af4">
    <w:basedOn w:val="TableNormal1"/>
    <w:tblPr>
      <w:tblStyleRowBandSize w:val="1"/>
      <w:tblStyleColBandSize w:val="1"/>
      <w:tblCellMar>
        <w:top w:w="46" w:type="dxa"/>
        <w:right w:w="61" w:type="dxa"/>
      </w:tblCellMar>
    </w:tblPr>
  </w:style>
  <w:style w:type="table" w:customStyle="1" w:styleId="af5">
    <w:basedOn w:val="TableNormal1"/>
    <w:tblPr>
      <w:tblStyleRowBandSize w:val="1"/>
      <w:tblStyleColBandSize w:val="1"/>
      <w:tblCellMar>
        <w:top w:w="46" w:type="dxa"/>
        <w:right w:w="6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tDRkzPoa49ejHORJc9xpLJhY2Q==">CgMxLjA4AHIhMU13Q1dJR1oydEhzRGYzYnpQUGVwNlFZaEJCZlMxY0Y3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518</Words>
  <Characters>2955</Characters>
  <Application>Microsoft Office Word</Application>
  <DocSecurity>0</DocSecurity>
  <Lines>24</Lines>
  <Paragraphs>6</Paragraphs>
  <ScaleCrop>false</ScaleCrop>
  <Company/>
  <LinksUpToDate>false</LinksUpToDate>
  <CharactersWithSpaces>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Chi-Chen Lin</dc:creator>
  <cp:lastModifiedBy>陳光隆</cp:lastModifiedBy>
  <cp:revision>5</cp:revision>
  <dcterms:created xsi:type="dcterms:W3CDTF">2024-05-29T06:46:00Z</dcterms:created>
  <dcterms:modified xsi:type="dcterms:W3CDTF">2024-10-30T00:42:00Z</dcterms:modified>
</cp:coreProperties>
</file>