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DD66" w14:textId="77777777" w:rsidR="00696130" w:rsidRDefault="006961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"/>
        <w:tblW w:w="110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140"/>
        <w:gridCol w:w="6120"/>
      </w:tblGrid>
      <w:tr w:rsidR="00696130" w14:paraId="3E076C45" w14:textId="77777777">
        <w:trPr>
          <w:cantSplit/>
          <w:trHeight w:val="1134"/>
        </w:trPr>
        <w:tc>
          <w:tcPr>
            <w:tcW w:w="828" w:type="dxa"/>
            <w:vAlign w:val="center"/>
          </w:tcPr>
          <w:p w14:paraId="1DED35A6" w14:textId="77777777" w:rsidR="00696130" w:rsidRDefault="001B1442">
            <w:pPr>
              <w:ind w:left="113" w:righ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驗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收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及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保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固</w:t>
            </w:r>
          </w:p>
        </w:tc>
        <w:tc>
          <w:tcPr>
            <w:tcW w:w="10260" w:type="dxa"/>
            <w:gridSpan w:val="2"/>
          </w:tcPr>
          <w:p w14:paraId="302FDF7F" w14:textId="77777777" w:rsidR="00696130" w:rsidRPr="003D70A7" w:rsidRDefault="001B1442" w:rsidP="003D70A7">
            <w:pPr>
              <w:pStyle w:val="ad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3D70A7">
              <w:rPr>
                <w:rFonts w:ascii="標楷體" w:eastAsia="標楷體" w:hAnsi="標楷體" w:cs="標楷體"/>
                <w:color w:val="000000"/>
              </w:rPr>
              <w:t>本契約訂購之貨品，由甲方相關單位檢驗。經檢驗若不符合乙方所保證之品質時，乙方應於甲方指示時間內更換合乎品質之全新貨品</w:t>
            </w:r>
            <w:proofErr w:type="gramStart"/>
            <w:r w:rsidRPr="003D70A7">
              <w:rPr>
                <w:rFonts w:ascii="標楷體" w:eastAsia="標楷體" w:hAnsi="標楷體" w:cs="標楷體"/>
                <w:color w:val="000000"/>
              </w:rPr>
              <w:t>送請甲方</w:t>
            </w:r>
            <w:proofErr w:type="gramEnd"/>
            <w:r w:rsidRPr="003D70A7">
              <w:rPr>
                <w:rFonts w:ascii="標楷體" w:eastAsia="標楷體" w:hAnsi="標楷體" w:cs="標楷體"/>
                <w:color w:val="000000"/>
              </w:rPr>
              <w:t>再予檢驗，如因短裝或更換，致有延期交貨時，應照延遲交貨論，因短裝或更換貨品所發生之運費、保險費、進口稅捐、倉租費、內陸運費、報關費及相關雜費等，概由乙方負擔。</w:t>
            </w:r>
          </w:p>
          <w:p w14:paraId="379DDBD6" w14:textId="77777777" w:rsidR="00696130" w:rsidRPr="003D70A7" w:rsidRDefault="001B1442" w:rsidP="003D70A7">
            <w:pPr>
              <w:pStyle w:val="ad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3D70A7">
              <w:rPr>
                <w:rFonts w:ascii="標楷體" w:eastAsia="標楷體" w:hAnsi="標楷體" w:cs="標楷體"/>
                <w:color w:val="000000"/>
              </w:rPr>
              <w:t>保固期限：自驗收完成日起，在正常情況使用下，保固</w:t>
            </w:r>
            <w:r w:rsidRPr="003D70A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3D70A7">
              <w:rPr>
                <w:rFonts w:ascii="標楷體" w:eastAsia="標楷體" w:hAnsi="標楷體" w:cs="標楷體"/>
                <w:color w:val="FF0000"/>
              </w:rPr>
              <w:t>5</w:t>
            </w:r>
            <w:r w:rsidRPr="003D70A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3D70A7">
              <w:rPr>
                <w:rFonts w:ascii="標楷體" w:eastAsia="標楷體" w:hAnsi="標楷體" w:cs="標楷體"/>
                <w:color w:val="000000"/>
              </w:rPr>
              <w:t>年（保固期間貨品經維修或更換新品後，保固日期重新起算），在保固期限內，如有非人為損壞或故障，乙方無條件負責免費修理，及免費更換修護之零（配）件，因此所發生之進口運費、稅捐、倉租費、內陸運費、報關費等，概由乙方負擔。</w:t>
            </w:r>
          </w:p>
        </w:tc>
      </w:tr>
      <w:tr w:rsidR="00696130" w14:paraId="733898C6" w14:textId="77777777">
        <w:trPr>
          <w:cantSplit/>
          <w:trHeight w:val="1134"/>
        </w:trPr>
        <w:tc>
          <w:tcPr>
            <w:tcW w:w="828" w:type="dxa"/>
            <w:vAlign w:val="center"/>
          </w:tcPr>
          <w:p w14:paraId="3DD17081" w14:textId="77777777" w:rsidR="00696130" w:rsidRDefault="001B1442">
            <w:pPr>
              <w:ind w:left="113" w:righ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罰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</w:t>
            </w:r>
            <w:r>
              <w:rPr>
                <w:rFonts w:ascii="標楷體" w:eastAsia="標楷體" w:hAnsi="標楷體" w:cs="標楷體"/>
                <w:color w:val="000000"/>
              </w:rPr>
              <w:t>則</w:t>
            </w:r>
          </w:p>
        </w:tc>
        <w:tc>
          <w:tcPr>
            <w:tcW w:w="10260" w:type="dxa"/>
            <w:gridSpan w:val="2"/>
          </w:tcPr>
          <w:p w14:paraId="26D5CBBF" w14:textId="77777777" w:rsidR="00696130" w:rsidRPr="00E102BE" w:rsidRDefault="001B1442" w:rsidP="00E102BE">
            <w:pPr>
              <w:pStyle w:val="ad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E102BE">
              <w:rPr>
                <w:rFonts w:ascii="標楷體" w:eastAsia="標楷體" w:hAnsi="標楷體" w:cs="標楷體"/>
                <w:color w:val="000000"/>
              </w:rPr>
              <w:t>乙方如屆交貨期限不能交貨，或僅能交貨一部份時，應於</w:t>
            </w:r>
            <w:proofErr w:type="gramStart"/>
            <w:r w:rsidRPr="00E102BE">
              <w:rPr>
                <w:rFonts w:ascii="標楷體" w:eastAsia="標楷體" w:hAnsi="標楷體" w:cs="標楷體"/>
                <w:color w:val="000000"/>
              </w:rPr>
              <w:t>期限屆至十日前</w:t>
            </w:r>
            <w:proofErr w:type="gramEnd"/>
            <w:r w:rsidRPr="00E102BE">
              <w:rPr>
                <w:rFonts w:ascii="標楷體" w:eastAsia="標楷體" w:hAnsi="標楷體" w:cs="標楷體"/>
                <w:color w:val="000000"/>
              </w:rPr>
              <w:t>，以書面敘明理由通知甲方，申請延緩期日，如經同意延期時，仍應計算遲延罰款。</w:t>
            </w:r>
          </w:p>
          <w:p w14:paraId="72F631C7" w14:textId="77777777" w:rsidR="00696130" w:rsidRPr="00E102BE" w:rsidRDefault="001B1442" w:rsidP="00E102BE">
            <w:pPr>
              <w:pStyle w:val="ad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E102BE">
              <w:rPr>
                <w:rFonts w:ascii="標楷體" w:eastAsia="標楷體" w:hAnsi="標楷體" w:cs="標楷體"/>
                <w:color w:val="000000"/>
              </w:rPr>
              <w:t>乙方如屆期不能交貨（含全部或部分）又未經同意延期時，甲方得隨時解除契約，並沒收全部履約保證金。甲方如預付有定金或貨款時，乙方應將預付之定金或貨款連同利息（按付款當時之銀行質押放款利率計算）全數立即</w:t>
            </w:r>
            <w:proofErr w:type="gramStart"/>
            <w:r w:rsidRPr="00E102BE">
              <w:rPr>
                <w:rFonts w:ascii="標楷體" w:eastAsia="標楷體" w:hAnsi="標楷體" w:cs="標楷體"/>
                <w:color w:val="000000"/>
              </w:rPr>
              <w:t>返還甲方</w:t>
            </w:r>
            <w:proofErr w:type="gramEnd"/>
            <w:r w:rsidRPr="00E102BE">
              <w:rPr>
                <w:rFonts w:ascii="標楷體" w:eastAsia="標楷體" w:hAnsi="標楷體" w:cs="標楷體"/>
                <w:color w:val="000000"/>
              </w:rPr>
              <w:t>，</w:t>
            </w:r>
            <w:proofErr w:type="gramStart"/>
            <w:r w:rsidRPr="00E102BE">
              <w:rPr>
                <w:rFonts w:ascii="標楷體" w:eastAsia="標楷體" w:hAnsi="標楷體" w:cs="標楷體"/>
                <w:color w:val="000000"/>
              </w:rPr>
              <w:t>若乙方</w:t>
            </w:r>
            <w:proofErr w:type="gramEnd"/>
            <w:r w:rsidRPr="00E102BE">
              <w:rPr>
                <w:rFonts w:ascii="標楷體" w:eastAsia="標楷體" w:hAnsi="標楷體" w:cs="標楷體"/>
                <w:color w:val="000000"/>
              </w:rPr>
              <w:t>另有提供</w:t>
            </w:r>
            <w:proofErr w:type="gramStart"/>
            <w:r w:rsidRPr="00E102BE">
              <w:rPr>
                <w:rFonts w:ascii="標楷體" w:eastAsia="標楷體" w:hAnsi="標楷體" w:cs="標楷體"/>
                <w:color w:val="000000"/>
              </w:rPr>
              <w:t>擔保物時</w:t>
            </w:r>
            <w:proofErr w:type="gramEnd"/>
            <w:r w:rsidRPr="00E102BE">
              <w:rPr>
                <w:rFonts w:ascii="標楷體" w:eastAsia="標楷體" w:hAnsi="標楷體" w:cs="標楷體"/>
                <w:color w:val="000000"/>
              </w:rPr>
              <w:t>，甲方得逕行處分其擔保物以供抵償，不敷抵償時，乙方應負責賠償，不得提出任何異議。</w:t>
            </w:r>
          </w:p>
          <w:p w14:paraId="69E0A5DD" w14:textId="77777777" w:rsidR="00696130" w:rsidRPr="00E102BE" w:rsidRDefault="001B1442" w:rsidP="00E102BE">
            <w:pPr>
              <w:pStyle w:val="ad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E102BE">
              <w:rPr>
                <w:rFonts w:ascii="標楷體" w:eastAsia="標楷體" w:hAnsi="標楷體" w:cs="標楷體"/>
                <w:color w:val="000000"/>
              </w:rPr>
              <w:t>檢驗不符合品質之貨品，乙方應於接獲甲方通知期限內，更換或修改完善，如乙方</w:t>
            </w:r>
            <w:proofErr w:type="gramStart"/>
            <w:r w:rsidRPr="00E102BE">
              <w:rPr>
                <w:rFonts w:ascii="標楷體" w:eastAsia="標楷體" w:hAnsi="標楷體" w:cs="標楷體"/>
                <w:color w:val="000000"/>
              </w:rPr>
              <w:t>不</w:t>
            </w:r>
            <w:proofErr w:type="gramEnd"/>
            <w:r w:rsidRPr="00E102BE">
              <w:rPr>
                <w:rFonts w:ascii="標楷體" w:eastAsia="標楷體" w:hAnsi="標楷體" w:cs="標楷體"/>
                <w:color w:val="000000"/>
              </w:rPr>
              <w:t>遵照辦理或經再檢驗一次仍有</w:t>
            </w:r>
            <w:proofErr w:type="gramStart"/>
            <w:r w:rsidRPr="00E102BE">
              <w:rPr>
                <w:rFonts w:ascii="標楷體" w:eastAsia="標楷體" w:hAnsi="標楷體" w:cs="標楷體"/>
                <w:color w:val="000000"/>
              </w:rPr>
              <w:t>不</w:t>
            </w:r>
            <w:proofErr w:type="gramEnd"/>
            <w:r w:rsidRPr="00E102BE">
              <w:rPr>
                <w:rFonts w:ascii="標楷體" w:eastAsia="標楷體" w:hAnsi="標楷體" w:cs="標楷體"/>
                <w:color w:val="000000"/>
              </w:rPr>
              <w:t>合格者，甲方得視情節輕重終止或解除契約。如</w:t>
            </w:r>
            <w:proofErr w:type="gramStart"/>
            <w:r w:rsidRPr="00E102BE">
              <w:rPr>
                <w:rFonts w:ascii="標楷體" w:eastAsia="標楷體" w:hAnsi="標楷體" w:cs="標楷體"/>
                <w:color w:val="000000"/>
              </w:rPr>
              <w:t>因而致甲方</w:t>
            </w:r>
            <w:proofErr w:type="gramEnd"/>
            <w:r w:rsidRPr="00E102BE">
              <w:rPr>
                <w:rFonts w:ascii="標楷體" w:eastAsia="標楷體" w:hAnsi="標楷體" w:cs="標楷體"/>
                <w:color w:val="000000"/>
              </w:rPr>
              <w:t>受有損害時，乙方應負責賠償。在保固期間內，乙方不</w:t>
            </w:r>
            <w:r w:rsidRPr="00E102BE">
              <w:rPr>
                <w:rFonts w:ascii="標楷體" w:eastAsia="標楷體" w:hAnsi="標楷體" w:cs="標楷體"/>
                <w:color w:val="000000"/>
              </w:rPr>
              <w:t>履行免費修理及免費更換修護零（配）件之責時亦同。</w:t>
            </w:r>
          </w:p>
          <w:p w14:paraId="6A47F1D0" w14:textId="77777777" w:rsidR="00696130" w:rsidRPr="00E102BE" w:rsidRDefault="001B1442" w:rsidP="00E102BE">
            <w:pPr>
              <w:pStyle w:val="ad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E102BE">
              <w:rPr>
                <w:rFonts w:ascii="標楷體" w:eastAsia="標楷體" w:hAnsi="標楷體" w:cs="標楷體"/>
                <w:color w:val="000000"/>
              </w:rPr>
              <w:t>因上述</w:t>
            </w:r>
            <w:r w:rsidRPr="00E102BE">
              <w:rPr>
                <w:rFonts w:ascii="標楷體" w:eastAsia="標楷體" w:hAnsi="標楷體" w:cs="標楷體"/>
                <w:color w:val="000000"/>
              </w:rPr>
              <w:t>2.</w:t>
            </w:r>
            <w:r w:rsidRPr="00E102BE">
              <w:rPr>
                <w:rFonts w:ascii="標楷體" w:eastAsia="標楷體" w:hAnsi="標楷體" w:cs="標楷體"/>
                <w:color w:val="000000"/>
              </w:rPr>
              <w:t>、</w:t>
            </w:r>
            <w:r w:rsidRPr="00E102BE">
              <w:rPr>
                <w:rFonts w:ascii="標楷體" w:eastAsia="標楷體" w:hAnsi="標楷體" w:cs="標楷體"/>
                <w:color w:val="000000"/>
              </w:rPr>
              <w:t>3.</w:t>
            </w:r>
            <w:r w:rsidRPr="00E102BE">
              <w:rPr>
                <w:rFonts w:ascii="標楷體" w:eastAsia="標楷體" w:hAnsi="標楷體" w:cs="標楷體"/>
                <w:color w:val="000000"/>
              </w:rPr>
              <w:t>款之原因而終止或解除契約時，甲方得另向其他廠商採購，如有超出原訂價額時，乙方同意負責賠償差額。甲方若因此受有其他損害或支出其他費用，乙方同意負全部賠償責任。</w:t>
            </w:r>
          </w:p>
          <w:p w14:paraId="6514B34B" w14:textId="77777777" w:rsidR="00696130" w:rsidRPr="00E102BE" w:rsidRDefault="001B1442" w:rsidP="00E102BE">
            <w:pPr>
              <w:pStyle w:val="ad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E102BE">
              <w:rPr>
                <w:rFonts w:ascii="標楷體" w:eastAsia="標楷體" w:hAnsi="標楷體" w:cs="標楷體"/>
                <w:color w:val="000000"/>
              </w:rPr>
              <w:t>如乙方未能履行契約義務時，乙方之保證人應負連帶賠償責任，並願拋棄先訴抗辯權。</w:t>
            </w:r>
          </w:p>
          <w:p w14:paraId="662F3250" w14:textId="77777777" w:rsidR="00696130" w:rsidRPr="00E102BE" w:rsidRDefault="001B1442" w:rsidP="00E102BE">
            <w:pPr>
              <w:pStyle w:val="ad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E102BE">
              <w:rPr>
                <w:rFonts w:ascii="標楷體" w:eastAsia="標楷體" w:hAnsi="標楷體" w:cs="標楷體"/>
                <w:color w:val="000000"/>
              </w:rPr>
              <w:t>遲延罰款，按契約總價每日千分之</w:t>
            </w:r>
            <w:proofErr w:type="gramStart"/>
            <w:r w:rsidRPr="00E102BE">
              <w:rPr>
                <w:rFonts w:ascii="標楷體" w:eastAsia="標楷體" w:hAnsi="標楷體" w:cs="標楷體"/>
                <w:color w:val="000000"/>
              </w:rPr>
              <w:t>ㄧ計罰</w:t>
            </w:r>
            <w:proofErr w:type="gramEnd"/>
            <w:r w:rsidRPr="00E102BE">
              <w:rPr>
                <w:rFonts w:ascii="標楷體" w:eastAsia="標楷體" w:hAnsi="標楷體" w:cs="標楷體"/>
                <w:color w:val="000000"/>
              </w:rPr>
              <w:t>，並得自應付價款及履約保證金內扣除。除有不可抗力之事由外</w:t>
            </w:r>
            <w:proofErr w:type="gramStart"/>
            <w:r w:rsidRPr="00E102BE">
              <w:rPr>
                <w:rFonts w:ascii="標楷體" w:eastAsia="標楷體" w:hAnsi="標楷體" w:cs="標楷體"/>
                <w:color w:val="000000"/>
              </w:rPr>
              <w:t>（</w:t>
            </w:r>
            <w:proofErr w:type="gramEnd"/>
            <w:r w:rsidRPr="00E102BE">
              <w:rPr>
                <w:rFonts w:ascii="標楷體" w:eastAsia="標楷體" w:hAnsi="標楷體" w:cs="標楷體"/>
                <w:color w:val="000000"/>
              </w:rPr>
              <w:t>限於雙方地區有戰爭行為及海</w:t>
            </w:r>
            <w:proofErr w:type="gramStart"/>
            <w:r w:rsidRPr="00E102BE">
              <w:rPr>
                <w:rFonts w:ascii="標楷體" w:eastAsia="標楷體" w:hAnsi="標楷體" w:cs="標楷體"/>
                <w:color w:val="000000"/>
              </w:rPr>
              <w:t>（</w:t>
            </w:r>
            <w:proofErr w:type="gramEnd"/>
            <w:r w:rsidRPr="00E102BE">
              <w:rPr>
                <w:rFonts w:ascii="標楷體" w:eastAsia="標楷體" w:hAnsi="標楷體" w:cs="標楷體"/>
                <w:color w:val="000000"/>
              </w:rPr>
              <w:t>空</w:t>
            </w:r>
            <w:proofErr w:type="gramStart"/>
            <w:r w:rsidRPr="00E102BE">
              <w:rPr>
                <w:rFonts w:ascii="標楷體" w:eastAsia="標楷體" w:hAnsi="標楷體" w:cs="標楷體"/>
                <w:color w:val="000000"/>
              </w:rPr>
              <w:t>）</w:t>
            </w:r>
            <w:proofErr w:type="gramEnd"/>
            <w:r w:rsidRPr="00E102BE">
              <w:rPr>
                <w:rFonts w:ascii="標楷體" w:eastAsia="標楷體" w:hAnsi="標楷體" w:cs="標楷體"/>
                <w:color w:val="000000"/>
              </w:rPr>
              <w:t>難等，並應檢同證明文件通知甲方得延期交貨者</w:t>
            </w:r>
            <w:proofErr w:type="gramStart"/>
            <w:r w:rsidRPr="00E102BE">
              <w:rPr>
                <w:rFonts w:ascii="標楷體" w:eastAsia="標楷體" w:hAnsi="標楷體" w:cs="標楷體"/>
                <w:color w:val="000000"/>
              </w:rPr>
              <w:t>）</w:t>
            </w:r>
            <w:proofErr w:type="gramEnd"/>
            <w:r w:rsidRPr="00E102BE">
              <w:rPr>
                <w:rFonts w:ascii="標楷體" w:eastAsia="標楷體" w:hAnsi="標楷體" w:cs="標楷體"/>
                <w:color w:val="000000"/>
              </w:rPr>
              <w:t>，不論其他任何原因，未於期限交貨者，</w:t>
            </w:r>
            <w:proofErr w:type="gramStart"/>
            <w:r w:rsidRPr="00E102BE">
              <w:rPr>
                <w:rFonts w:ascii="標楷體" w:eastAsia="標楷體" w:hAnsi="標楷體" w:cs="標楷體"/>
                <w:color w:val="000000"/>
              </w:rPr>
              <w:t>均以</w:t>
            </w:r>
            <w:r w:rsidRPr="00E102BE">
              <w:rPr>
                <w:rFonts w:ascii="標楷體" w:eastAsia="標楷體" w:hAnsi="標楷體" w:cs="標楷體"/>
                <w:color w:val="000000"/>
              </w:rPr>
              <w:t>逾期</w:t>
            </w:r>
            <w:proofErr w:type="gramEnd"/>
            <w:r w:rsidRPr="00E102BE">
              <w:rPr>
                <w:rFonts w:ascii="標楷體" w:eastAsia="標楷體" w:hAnsi="標楷體" w:cs="標楷體"/>
                <w:color w:val="000000"/>
              </w:rPr>
              <w:t>論。</w:t>
            </w:r>
          </w:p>
          <w:p w14:paraId="3BAA20BF" w14:textId="77777777" w:rsidR="00696130" w:rsidRPr="00E102BE" w:rsidRDefault="001B1442" w:rsidP="00E102BE">
            <w:pPr>
              <w:pStyle w:val="ad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E102BE">
              <w:rPr>
                <w:rFonts w:ascii="標楷體" w:eastAsia="標楷體" w:hAnsi="標楷體" w:cs="標楷體"/>
                <w:color w:val="000000"/>
              </w:rPr>
              <w:t>乙方對甲方承辦業務之有關人員，不得有交付佣金或其他利益之行為，否則除依法追訴乙方法律責任外，甲方並得逕自解除或終止本契約，</w:t>
            </w:r>
            <w:proofErr w:type="gramStart"/>
            <w:r w:rsidRPr="00E102BE">
              <w:rPr>
                <w:rFonts w:ascii="標楷體" w:eastAsia="標楷體" w:hAnsi="標楷體" w:cs="標楷體"/>
                <w:color w:val="000000"/>
              </w:rPr>
              <w:t>且乙方</w:t>
            </w:r>
            <w:proofErr w:type="gramEnd"/>
            <w:r w:rsidRPr="00E102BE">
              <w:rPr>
                <w:rFonts w:ascii="標楷體" w:eastAsia="標楷體" w:hAnsi="標楷體" w:cs="標楷體"/>
                <w:color w:val="000000"/>
              </w:rPr>
              <w:t>應賠償甲方因此所受之損失。</w:t>
            </w:r>
          </w:p>
          <w:p w14:paraId="08B718A1" w14:textId="77777777" w:rsidR="00696130" w:rsidRPr="00E102BE" w:rsidRDefault="001B1442" w:rsidP="00E102BE">
            <w:pPr>
              <w:pStyle w:val="ad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E102BE">
              <w:rPr>
                <w:rFonts w:ascii="標楷體" w:eastAsia="標楷體" w:hAnsi="標楷體" w:cs="標楷體"/>
                <w:color w:val="000000"/>
              </w:rPr>
              <w:t>乙方因本契約所衍生之</w:t>
            </w:r>
            <w:proofErr w:type="gramStart"/>
            <w:r w:rsidRPr="00E102BE">
              <w:rPr>
                <w:rFonts w:ascii="標楷體" w:eastAsia="標楷體" w:hAnsi="標楷體" w:cs="標楷體"/>
                <w:color w:val="000000"/>
              </w:rPr>
              <w:t>ㄧ</w:t>
            </w:r>
            <w:proofErr w:type="gramEnd"/>
            <w:r w:rsidRPr="00E102BE">
              <w:rPr>
                <w:rFonts w:ascii="標楷體" w:eastAsia="標楷體" w:hAnsi="標楷體" w:cs="標楷體"/>
                <w:color w:val="000000"/>
              </w:rPr>
              <w:t>切債務，甲方得就履約保證金或擔保物</w:t>
            </w:r>
            <w:proofErr w:type="gramStart"/>
            <w:r w:rsidRPr="00E102BE">
              <w:rPr>
                <w:rFonts w:ascii="標楷體" w:eastAsia="標楷體" w:hAnsi="標楷體" w:cs="標楷體"/>
                <w:color w:val="000000"/>
              </w:rPr>
              <w:t>優先取償</w:t>
            </w:r>
            <w:proofErr w:type="gramEnd"/>
            <w:r w:rsidRPr="00E102BE">
              <w:rPr>
                <w:rFonts w:ascii="標楷體" w:eastAsia="標楷體" w:hAnsi="標楷體" w:cs="標楷體"/>
                <w:color w:val="000000"/>
              </w:rPr>
              <w:t>，如有餘額始得</w:t>
            </w:r>
            <w:proofErr w:type="gramStart"/>
            <w:r w:rsidRPr="00E102BE">
              <w:rPr>
                <w:rFonts w:ascii="標楷體" w:eastAsia="標楷體" w:hAnsi="標楷體" w:cs="標楷體"/>
                <w:color w:val="000000"/>
              </w:rPr>
              <w:t>退還予乙方</w:t>
            </w:r>
            <w:proofErr w:type="gramEnd"/>
            <w:r w:rsidRPr="00E102BE"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696130" w14:paraId="26E1954D" w14:textId="77777777">
        <w:trPr>
          <w:cantSplit/>
          <w:trHeight w:val="1134"/>
        </w:trPr>
        <w:tc>
          <w:tcPr>
            <w:tcW w:w="828" w:type="dxa"/>
            <w:vAlign w:val="center"/>
          </w:tcPr>
          <w:p w14:paraId="5D49DE49" w14:textId="77777777" w:rsidR="00696130" w:rsidRDefault="001B1442">
            <w:pPr>
              <w:ind w:left="113" w:righ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附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款</w:t>
            </w:r>
          </w:p>
        </w:tc>
        <w:tc>
          <w:tcPr>
            <w:tcW w:w="10260" w:type="dxa"/>
            <w:gridSpan w:val="2"/>
          </w:tcPr>
          <w:p w14:paraId="75E1882F" w14:textId="77777777" w:rsidR="00696130" w:rsidRDefault="001B1442" w:rsidP="00CB3103">
            <w:pPr>
              <w:numPr>
                <w:ilvl w:val="0"/>
                <w:numId w:val="5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本契約書自雙方簽訂之日起生效。</w:t>
            </w:r>
          </w:p>
          <w:p w14:paraId="683261F7" w14:textId="77777777" w:rsidR="00696130" w:rsidRDefault="001B1442" w:rsidP="00A81835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本契約書簽訂後，如貨價升降或稅捐調整時，雙方不得要求調整，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均以原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契約簽訂條件為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47FBEDE0" w14:textId="7A29D8B2" w:rsidR="00696130" w:rsidRPr="00CB3103" w:rsidRDefault="001B1442" w:rsidP="00CB3103">
            <w:pPr>
              <w:numPr>
                <w:ilvl w:val="0"/>
                <w:numId w:val="5"/>
              </w:num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本契約以中華民國法律為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據法，如因本契約涉訟時，甲乙方及保證人均同意以台灣台北地</w:t>
            </w:r>
            <w:r w:rsidRPr="00CB3103">
              <w:rPr>
                <w:rFonts w:ascii="標楷體" w:eastAsia="標楷體" w:hAnsi="標楷體" w:cs="標楷體"/>
                <w:color w:val="000000"/>
              </w:rPr>
              <w:t>方法院為第一審管轄法院。</w:t>
            </w:r>
          </w:p>
        </w:tc>
      </w:tr>
      <w:tr w:rsidR="00696130" w14:paraId="4C4330BB" w14:textId="77777777">
        <w:trPr>
          <w:cantSplit/>
          <w:trHeight w:val="1832"/>
        </w:trPr>
        <w:tc>
          <w:tcPr>
            <w:tcW w:w="828" w:type="dxa"/>
            <w:vAlign w:val="center"/>
          </w:tcPr>
          <w:p w14:paraId="3729662B" w14:textId="77777777" w:rsidR="00696130" w:rsidRDefault="001B1442">
            <w:pPr>
              <w:ind w:left="113" w:righ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約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條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款</w:t>
            </w:r>
          </w:p>
        </w:tc>
        <w:tc>
          <w:tcPr>
            <w:tcW w:w="10260" w:type="dxa"/>
            <w:gridSpan w:val="2"/>
          </w:tcPr>
          <w:p w14:paraId="4A414621" w14:textId="77777777" w:rsidR="00696130" w:rsidRDefault="001B144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本契約如因特殊情形另加約定條款，此特約條款與上開各條有抵觸時，應以特約條款為</w:t>
            </w:r>
            <w:proofErr w:type="gramStart"/>
            <w:r>
              <w:rPr>
                <w:rFonts w:ascii="標楷體" w:eastAsia="標楷體" w:hAnsi="標楷體" w:cs="標楷體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14:paraId="452C36E8" w14:textId="77777777" w:rsidR="00696130" w:rsidRDefault="00696130">
            <w:pPr>
              <w:rPr>
                <w:rFonts w:ascii="標楷體" w:eastAsia="標楷體" w:hAnsi="標楷體" w:cs="標楷體"/>
              </w:rPr>
            </w:pPr>
          </w:p>
        </w:tc>
      </w:tr>
      <w:tr w:rsidR="00696130" w14:paraId="2C391E6F" w14:textId="77777777">
        <w:trPr>
          <w:cantSplit/>
          <w:trHeight w:val="999"/>
        </w:trPr>
        <w:tc>
          <w:tcPr>
            <w:tcW w:w="4968" w:type="dxa"/>
            <w:gridSpan w:val="2"/>
            <w:vMerge w:val="restart"/>
            <w:vAlign w:val="center"/>
          </w:tcPr>
          <w:p w14:paraId="48B15697" w14:textId="77777777" w:rsidR="00696130" w:rsidRDefault="001B1442">
            <w:pPr>
              <w:spacing w:line="600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甲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方：中華電視股份有限公司</w:t>
            </w:r>
          </w:p>
          <w:p w14:paraId="5653C4D5" w14:textId="5E11D69B" w:rsidR="00696130" w:rsidRDefault="001B1442">
            <w:pPr>
              <w:rPr>
                <w:rFonts w:ascii="新細明體" w:eastAsia="新細明體" w:hAnsi="新細明體" w:cs="新細明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代表人：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行政</w:t>
            </w:r>
            <w:proofErr w:type="gramStart"/>
            <w:r>
              <w:rPr>
                <w:rFonts w:ascii="標楷體" w:eastAsia="標楷體" w:hAnsi="標楷體" w:cs="標楷體"/>
                <w:sz w:val="30"/>
                <w:szCs w:val="30"/>
              </w:rPr>
              <w:t>服務部</w:t>
            </w:r>
            <w:r w:rsidR="00A81835">
              <w:rPr>
                <w:rFonts w:ascii="標楷體" w:eastAsia="標楷體" w:hAnsi="標楷體" w:cs="標楷體" w:hint="eastAsia"/>
                <w:sz w:val="30"/>
                <w:szCs w:val="30"/>
              </w:rPr>
              <w:t>副理</w:t>
            </w:r>
            <w:proofErr w:type="gramEnd"/>
            <w:r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="00A81835">
              <w:rPr>
                <w:rFonts w:ascii="標楷體" w:eastAsia="標楷體" w:hAnsi="標楷體" w:cs="標楷體" w:hint="eastAsia"/>
                <w:sz w:val="30"/>
                <w:szCs w:val="30"/>
              </w:rPr>
              <w:t>萬愛玲</w:t>
            </w:r>
          </w:p>
          <w:p w14:paraId="66B30162" w14:textId="77777777" w:rsidR="00696130" w:rsidRDefault="001B1442">
            <w:pPr>
              <w:spacing w:line="600" w:lineRule="auto"/>
              <w:ind w:right="25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址：台北市光復南路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6120" w:type="dxa"/>
            <w:vAlign w:val="center"/>
          </w:tcPr>
          <w:p w14:paraId="7C48FCEA" w14:textId="77777777" w:rsidR="00696130" w:rsidRDefault="001B144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乙方：</w:t>
            </w:r>
          </w:p>
          <w:p w14:paraId="171BA7ED" w14:textId="77777777" w:rsidR="00696130" w:rsidRDefault="001B144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負責人：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</w:rPr>
              <w:t>簽章：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1B05FFF3" w14:textId="77777777" w:rsidR="00696130" w:rsidRDefault="001B144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      </w:t>
            </w:r>
          </w:p>
          <w:p w14:paraId="5038C061" w14:textId="77777777" w:rsidR="00696130" w:rsidRDefault="001B144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電話：</w:t>
            </w:r>
          </w:p>
        </w:tc>
      </w:tr>
      <w:tr w:rsidR="00696130" w14:paraId="44452B9F" w14:textId="77777777">
        <w:trPr>
          <w:cantSplit/>
          <w:trHeight w:val="1561"/>
        </w:trPr>
        <w:tc>
          <w:tcPr>
            <w:tcW w:w="4968" w:type="dxa"/>
            <w:gridSpan w:val="2"/>
            <w:vMerge/>
            <w:vAlign w:val="center"/>
          </w:tcPr>
          <w:p w14:paraId="26514FF5" w14:textId="77777777" w:rsidR="00696130" w:rsidRDefault="0069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120" w:type="dxa"/>
          </w:tcPr>
          <w:p w14:paraId="1875365C" w14:textId="77777777" w:rsidR="00696130" w:rsidRDefault="001B144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乙方連帶保證人：</w:t>
            </w:r>
            <w:r>
              <w:rPr>
                <w:rFonts w:ascii="標楷體" w:eastAsia="標楷體" w:hAnsi="標楷體" w:cs="標楷體"/>
                <w:color w:val="FF0000"/>
              </w:rPr>
              <w:t>（請用自然人）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63B31E6B" w14:textId="77777777" w:rsidR="00696130" w:rsidRDefault="001B144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   </w:t>
            </w:r>
            <w:r>
              <w:rPr>
                <w:rFonts w:ascii="標楷體" w:eastAsia="標楷體" w:hAnsi="標楷體" w:cs="標楷體"/>
                <w:color w:val="000000"/>
              </w:rPr>
              <w:t>簽章：</w:t>
            </w:r>
          </w:p>
          <w:p w14:paraId="69A2D525" w14:textId="77777777" w:rsidR="00696130" w:rsidRDefault="001B144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身分證字號：</w:t>
            </w:r>
          </w:p>
          <w:p w14:paraId="26D7EA53" w14:textId="77777777" w:rsidR="00696130" w:rsidRDefault="001B144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地址：</w:t>
            </w:r>
          </w:p>
        </w:tc>
      </w:tr>
    </w:tbl>
    <w:p w14:paraId="2CA758D1" w14:textId="77777777" w:rsidR="00696130" w:rsidRDefault="00696130"/>
    <w:sectPr w:rsidR="00696130" w:rsidSect="00A81835">
      <w:pgSz w:w="11906" w:h="16838"/>
      <w:pgMar w:top="284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FD92" w14:textId="77777777" w:rsidR="001B1442" w:rsidRDefault="001B1442" w:rsidP="00E102BE">
      <w:r>
        <w:separator/>
      </w:r>
    </w:p>
  </w:endnote>
  <w:endnote w:type="continuationSeparator" w:id="0">
    <w:p w14:paraId="31C0D326" w14:textId="77777777" w:rsidR="001B1442" w:rsidRDefault="001B1442" w:rsidP="00E1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E419" w14:textId="77777777" w:rsidR="001B1442" w:rsidRDefault="001B1442" w:rsidP="00E102BE">
      <w:r>
        <w:separator/>
      </w:r>
    </w:p>
  </w:footnote>
  <w:footnote w:type="continuationSeparator" w:id="0">
    <w:p w14:paraId="58466A5F" w14:textId="77777777" w:rsidR="001B1442" w:rsidRDefault="001B1442" w:rsidP="00E1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119B"/>
    <w:multiLevelType w:val="multilevel"/>
    <w:tmpl w:val="4F1EBF90"/>
    <w:lvl w:ilvl="0">
      <w:start w:val="1"/>
      <w:numFmt w:val="decimal"/>
      <w:lvlText w:val="%1. 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A42151B"/>
    <w:multiLevelType w:val="hybridMultilevel"/>
    <w:tmpl w:val="A42497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00E1D"/>
    <w:multiLevelType w:val="hybridMultilevel"/>
    <w:tmpl w:val="288CFD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AF3E95"/>
    <w:multiLevelType w:val="multilevel"/>
    <w:tmpl w:val="56EABDCC"/>
    <w:lvl w:ilvl="0">
      <w:start w:val="1"/>
      <w:numFmt w:val="decimal"/>
      <w:lvlText w:val="%1. 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78065178"/>
    <w:multiLevelType w:val="multilevel"/>
    <w:tmpl w:val="4F4A49F2"/>
    <w:lvl w:ilvl="0">
      <w:start w:val="1"/>
      <w:numFmt w:val="decimal"/>
      <w:lvlText w:val="%1. 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7A4200E7"/>
    <w:multiLevelType w:val="hybridMultilevel"/>
    <w:tmpl w:val="966A0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30"/>
    <w:rsid w:val="001B1442"/>
    <w:rsid w:val="003D70A7"/>
    <w:rsid w:val="00696130"/>
    <w:rsid w:val="00A81835"/>
    <w:rsid w:val="00A91921"/>
    <w:rsid w:val="00AA55BE"/>
    <w:rsid w:val="00CB3103"/>
    <w:rsid w:val="00E1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D127B"/>
  <w15:docId w15:val="{FD5B99BD-AF80-47AF-87FE-A6899134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semiHidden/>
    <w:pPr>
      <w:spacing w:line="0" w:lineRule="atLeast"/>
      <w:ind w:left="502" w:hangingChars="209" w:hanging="502"/>
    </w:pPr>
    <w:rPr>
      <w:rFonts w:ascii="標楷體" w:eastAsia="標楷體" w:hAnsi="標楷體"/>
    </w:rPr>
  </w:style>
  <w:style w:type="paragraph" w:styleId="20">
    <w:name w:val="Body Text Indent 2"/>
    <w:basedOn w:val="a"/>
    <w:semiHidden/>
    <w:pPr>
      <w:spacing w:line="0" w:lineRule="atLeast"/>
      <w:ind w:left="432" w:hangingChars="180" w:hanging="432"/>
    </w:pPr>
    <w:rPr>
      <w:rFonts w:ascii="標楷體" w:eastAsia="標楷體" w:hAnsi="標楷體"/>
    </w:rPr>
  </w:style>
  <w:style w:type="paragraph" w:styleId="30">
    <w:name w:val="Body Text Indent 3"/>
    <w:basedOn w:val="a"/>
    <w:semiHidden/>
    <w:pPr>
      <w:spacing w:line="0" w:lineRule="atLeast"/>
      <w:ind w:left="432" w:hangingChars="180" w:hanging="432"/>
    </w:pPr>
    <w:rPr>
      <w:rFonts w:ascii="細明體" w:eastAsia="細明體" w:hAnsi="細明體"/>
      <w:color w:val="000000"/>
    </w:rPr>
  </w:style>
  <w:style w:type="paragraph" w:customStyle="1" w:styleId="7">
    <w:name w:val="樣式7"/>
    <w:basedOn w:val="a"/>
    <w:pPr>
      <w:kinsoku w:val="0"/>
      <w:adjustRightInd w:val="0"/>
      <w:spacing w:line="360" w:lineRule="atLeast"/>
      <w:ind w:left="1361" w:hanging="1361"/>
    </w:pPr>
    <w:rPr>
      <w:rFonts w:ascii="全真楷書" w:eastAsia="全真楷書" w:hint="eastAsia"/>
      <w:spacing w:val="10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9736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736B8"/>
    <w:rPr>
      <w:kern w:val="2"/>
    </w:rPr>
  </w:style>
  <w:style w:type="paragraph" w:styleId="a7">
    <w:name w:val="footer"/>
    <w:basedOn w:val="a"/>
    <w:link w:val="a8"/>
    <w:uiPriority w:val="99"/>
    <w:unhideWhenUsed/>
    <w:rsid w:val="009736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736B8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819D4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0819D4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BE3448"/>
    <w:pPr>
      <w:spacing w:after="120"/>
    </w:pPr>
    <w:rPr>
      <w:lang w:val="x-none" w:eastAsia="x-none"/>
    </w:rPr>
  </w:style>
  <w:style w:type="character" w:customStyle="1" w:styleId="ac">
    <w:name w:val="本文 字元"/>
    <w:link w:val="ab"/>
    <w:uiPriority w:val="99"/>
    <w:semiHidden/>
    <w:rsid w:val="00BE3448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6B1F55"/>
    <w:pPr>
      <w:ind w:leftChars="200" w:left="480"/>
    </w:pPr>
    <w:rPr>
      <w:rFonts w:ascii="Calibri" w:hAnsi="Calibri"/>
      <w:szCs w:val="22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7Q5FBpIIgaRwlu7WGAfI4KAaaw==">CgMxLjA4AHIhMTB4M0hfWUJhZEZWQ2NiQVhubTJmdjJtMk5vLTVGRTF6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陳光隆</cp:lastModifiedBy>
  <cp:revision>5</cp:revision>
  <dcterms:created xsi:type="dcterms:W3CDTF">2024-07-30T10:47:00Z</dcterms:created>
  <dcterms:modified xsi:type="dcterms:W3CDTF">2024-11-01T02:58:00Z</dcterms:modified>
</cp:coreProperties>
</file>