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A673" w14:textId="77777777" w:rsidR="0033183A" w:rsidRDefault="002E5E5D">
      <w:pPr>
        <w:spacing w:after="590"/>
        <w:jc w:val="center"/>
        <w:rPr>
          <w:rFonts w:ascii="標楷體" w:eastAsia="標楷體" w:hAnsi="標楷體" w:cs="標楷體"/>
          <w:b/>
          <w:sz w:val="56"/>
          <w:szCs w:val="56"/>
        </w:rPr>
      </w:pPr>
      <w:r>
        <w:rPr>
          <w:rFonts w:ascii="標楷體" w:eastAsia="標楷體" w:hAnsi="標楷體" w:cs="標楷體"/>
          <w:b/>
          <w:sz w:val="56"/>
          <w:szCs w:val="56"/>
        </w:rPr>
        <w:t>中華電視股份有限公司</w:t>
      </w:r>
    </w:p>
    <w:p w14:paraId="70706DF4" w14:textId="77777777" w:rsidR="0033183A" w:rsidRDefault="002E5E5D">
      <w:pPr>
        <w:spacing w:after="590"/>
        <w:jc w:val="center"/>
      </w:pPr>
      <w:r>
        <w:rPr>
          <w:rFonts w:ascii="標楷體" w:eastAsia="標楷體" w:hAnsi="標楷體" w:cs="標楷體"/>
          <w:b/>
          <w:sz w:val="56"/>
          <w:szCs w:val="56"/>
        </w:rPr>
        <w:t>「</w:t>
      </w:r>
      <w:proofErr w:type="gramStart"/>
      <w:r>
        <w:rPr>
          <w:rFonts w:ascii="標楷體" w:eastAsia="標楷體" w:hAnsi="標楷體" w:cs="標楷體"/>
          <w:b/>
          <w:sz w:val="56"/>
          <w:szCs w:val="56"/>
        </w:rPr>
        <w:t>113</w:t>
      </w:r>
      <w:proofErr w:type="gramEnd"/>
      <w:r>
        <w:rPr>
          <w:rFonts w:ascii="標楷體" w:eastAsia="標楷體" w:hAnsi="標楷體" w:cs="標楷體"/>
          <w:b/>
          <w:sz w:val="56"/>
          <w:szCs w:val="56"/>
        </w:rPr>
        <w:t>年度新媒體部網路負載平衡設備更新」採購案</w:t>
      </w:r>
      <w:r>
        <w:br w:type="page"/>
      </w:r>
      <w:r>
        <w:rPr>
          <w:noProof/>
        </w:rPr>
        <mc:AlternateContent>
          <mc:Choice Requires="wps">
            <w:drawing>
              <wp:anchor distT="0" distB="0" distL="114300" distR="114300" simplePos="0" relativeHeight="251658240" behindDoc="0" locked="0" layoutInCell="1" hidden="0" allowOverlap="1" wp14:anchorId="56264254" wp14:editId="14CB7D17">
                <wp:simplePos x="0" y="0"/>
                <wp:positionH relativeFrom="column">
                  <wp:posOffset>1016000</wp:posOffset>
                </wp:positionH>
                <wp:positionV relativeFrom="paragraph">
                  <wp:posOffset>1574800</wp:posOffset>
                </wp:positionV>
                <wp:extent cx="2899410" cy="1667510"/>
                <wp:effectExtent l="0" t="0" r="0" b="0"/>
                <wp:wrapSquare wrapText="bothSides" distT="0" distB="0" distL="114300" distR="114300"/>
                <wp:docPr id="10" name="矩形 10"/>
                <wp:cNvGraphicFramePr/>
                <a:graphic xmlns:a="http://schemas.openxmlformats.org/drawingml/2006/main">
                  <a:graphicData uri="http://schemas.microsoft.com/office/word/2010/wordprocessingShape">
                    <wps:wsp>
                      <wps:cNvSpPr/>
                      <wps:spPr>
                        <a:xfrm>
                          <a:off x="3915345" y="2965295"/>
                          <a:ext cx="2861310" cy="1629410"/>
                        </a:xfrm>
                        <a:prstGeom prst="rect">
                          <a:avLst/>
                        </a:prstGeom>
                        <a:noFill/>
                        <a:ln w="9525" cap="flat" cmpd="sng">
                          <a:solidFill>
                            <a:srgbClr val="FFFFFF"/>
                          </a:solidFill>
                          <a:prstDash val="solid"/>
                          <a:miter lim="800000"/>
                          <a:headEnd type="none" w="sm" len="sm"/>
                          <a:tailEnd type="none" w="sm" len="sm"/>
                        </a:ln>
                      </wps:spPr>
                      <wps:txbx>
                        <w:txbxContent>
                          <w:p w14:paraId="6F2DC343" w14:textId="77777777" w:rsidR="0033183A" w:rsidRDefault="002E5E5D">
                            <w:pPr>
                              <w:jc w:val="center"/>
                              <w:textDirection w:val="btLr"/>
                            </w:pPr>
                            <w:r>
                              <w:rPr>
                                <w:rFonts w:ascii="標楷體" w:eastAsia="標楷體" w:hAnsi="標楷體" w:cs="標楷體"/>
                                <w:color w:val="000000"/>
                                <w:sz w:val="80"/>
                              </w:rPr>
                              <w:t>招標規範</w:t>
                            </w:r>
                          </w:p>
                        </w:txbxContent>
                      </wps:txbx>
                      <wps:bodyPr spcFirstLastPara="1" wrap="square" lIns="91425" tIns="45700" rIns="91425" bIns="45700" anchor="ctr" anchorCtr="0">
                        <a:noAutofit/>
                      </wps:bodyPr>
                    </wps:wsp>
                  </a:graphicData>
                </a:graphic>
              </wp:anchor>
            </w:drawing>
          </mc:Choice>
          <mc:Fallback>
            <w:pict>
              <v:rect w14:anchorId="56264254" id="矩形 10" o:spid="_x0000_s1026" style="position:absolute;left:0;text-align:left;margin-left:80pt;margin-top:124pt;width:228.3pt;height:13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" filled="f" strokecolor="white">
                <v:stroke startarrowwidth="narrow" startarrowlength="short" endarrowwidth="narrow" endarrowlength="short"/>
                <v:textbox inset="2.53958mm,1.2694mm,2.53958mm,1.2694mm">
                  <w:txbxContent>
                    <w:p w14:paraId="6F2DC343" w14:textId="77777777" w:rsidR="0033183A" w:rsidRDefault="002E5E5D">
                      <w:pPr>
                        <w:jc w:val="center"/>
                        <w:textDirection w:val="btLr"/>
                      </w:pPr>
                      <w:r>
                        <w:rPr>
                          <w:rFonts w:ascii="標楷體" w:eastAsia="標楷體" w:hAnsi="標楷體" w:cs="標楷體"/>
                          <w:color w:val="000000"/>
                          <w:sz w:val="80"/>
                        </w:rPr>
                        <w:t>招標規範</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5D8A9666" wp14:editId="28B8A5FE">
                <wp:simplePos x="0" y="0"/>
                <wp:positionH relativeFrom="column">
                  <wp:posOffset>1282700</wp:posOffset>
                </wp:positionH>
                <wp:positionV relativeFrom="paragraph">
                  <wp:posOffset>6350000</wp:posOffset>
                </wp:positionV>
                <wp:extent cx="2478405" cy="629123"/>
                <wp:effectExtent l="0" t="0" r="0" b="0"/>
                <wp:wrapNone/>
                <wp:docPr id="9" name="矩形 9"/>
                <wp:cNvGraphicFramePr/>
                <a:graphic xmlns:a="http://schemas.openxmlformats.org/drawingml/2006/main">
                  <a:graphicData uri="http://schemas.microsoft.com/office/word/2010/wordprocessingShape">
                    <wps:wsp>
                      <wps:cNvSpPr/>
                      <wps:spPr>
                        <a:xfrm>
                          <a:off x="4125848" y="3486630"/>
                          <a:ext cx="2440305" cy="5867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B100F36" w14:textId="7DB0F6E4" w:rsidR="0033183A" w:rsidRDefault="002E5E5D">
                            <w:pPr>
                              <w:jc w:val="center"/>
                              <w:textDirection w:val="btLr"/>
                            </w:pPr>
                            <w:r>
                              <w:rPr>
                                <w:rFonts w:ascii="標楷體" w:eastAsia="標楷體" w:hAnsi="標楷體" w:cs="標楷體"/>
                                <w:color w:val="000000"/>
                                <w:sz w:val="36"/>
                              </w:rPr>
                              <w:t>中華民國113</w:t>
                            </w:r>
                            <w:r>
                              <w:rPr>
                                <w:rFonts w:ascii="標楷體" w:eastAsia="標楷體" w:hAnsi="標楷體" w:cs="標楷體"/>
                                <w:color w:val="000000"/>
                                <w:sz w:val="36"/>
                              </w:rPr>
                              <w:t>年</w:t>
                            </w:r>
                            <w:r w:rsidR="005B6FC4">
                              <w:rPr>
                                <w:rFonts w:ascii="標楷體" w:eastAsia="標楷體" w:hAnsi="標楷體" w:cs="標楷體" w:hint="eastAsia"/>
                                <w:color w:val="000000"/>
                                <w:sz w:val="36"/>
                              </w:rPr>
                              <w:t>1</w:t>
                            </w:r>
                            <w:r w:rsidR="005B6FC4">
                              <w:rPr>
                                <w:rFonts w:ascii="標楷體" w:eastAsia="標楷體" w:hAnsi="標楷體" w:cs="標楷體"/>
                                <w:color w:val="000000"/>
                                <w:sz w:val="36"/>
                              </w:rPr>
                              <w:t>0</w:t>
                            </w:r>
                            <w:r>
                              <w:rPr>
                                <w:rFonts w:ascii="標楷體" w:eastAsia="標楷體" w:hAnsi="標楷體" w:cs="標楷體"/>
                                <w:color w:val="000000"/>
                                <w:sz w:val="36"/>
                              </w:rPr>
                              <w:t>月</w:t>
                            </w:r>
                          </w:p>
                        </w:txbxContent>
                      </wps:txbx>
                      <wps:bodyPr spcFirstLastPara="1" wrap="square" lIns="91425" tIns="45700" rIns="91425" bIns="45700" anchor="ctr" anchorCtr="0">
                        <a:noAutofit/>
                      </wps:bodyPr>
                    </wps:wsp>
                  </a:graphicData>
                </a:graphic>
              </wp:anchor>
            </w:drawing>
          </mc:Choice>
          <mc:Fallback>
            <w:pict>
              <v:rect w14:anchorId="5D8A9666" id="矩形 9" o:spid="_x0000_s1027" style="position:absolute;left:0;text-align:left;margin-left:101pt;margin-top:500pt;width:195.15pt;height:4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" strokecolor="white">
                <v:stroke startarrowwidth="narrow" startarrowlength="short" endarrowwidth="narrow" endarrowlength="short"/>
                <v:textbox inset="2.53958mm,1.2694mm,2.53958mm,1.2694mm">
                  <w:txbxContent>
                    <w:p w14:paraId="6B100F36" w14:textId="7DB0F6E4" w:rsidR="0033183A" w:rsidRDefault="002E5E5D">
                      <w:pPr>
                        <w:jc w:val="center"/>
                        <w:textDirection w:val="btLr"/>
                      </w:pPr>
                      <w:r>
                        <w:rPr>
                          <w:rFonts w:ascii="標楷體" w:eastAsia="標楷體" w:hAnsi="標楷體" w:cs="標楷體"/>
                          <w:color w:val="000000"/>
                          <w:sz w:val="36"/>
                        </w:rPr>
                        <w:t>中華民國113年</w:t>
                      </w:r>
                      <w:r w:rsidR="005B6FC4">
                        <w:rPr>
                          <w:rFonts w:ascii="標楷體" w:eastAsia="標楷體" w:hAnsi="標楷體" w:cs="標楷體" w:hint="eastAsia"/>
                          <w:color w:val="000000"/>
                          <w:sz w:val="36"/>
                        </w:rPr>
                        <w:t>1</w:t>
                      </w:r>
                      <w:r w:rsidR="005B6FC4">
                        <w:rPr>
                          <w:rFonts w:ascii="標楷體" w:eastAsia="標楷體" w:hAnsi="標楷體" w:cs="標楷體"/>
                          <w:color w:val="000000"/>
                          <w:sz w:val="36"/>
                        </w:rPr>
                        <w:t>0</w:t>
                      </w:r>
                      <w:bookmarkStart w:id="1" w:name="_GoBack"/>
                      <w:bookmarkEnd w:id="1"/>
                      <w:r>
                        <w:rPr>
                          <w:rFonts w:ascii="標楷體" w:eastAsia="標楷體" w:hAnsi="標楷體" w:cs="標楷體"/>
                          <w:color w:val="000000"/>
                          <w:sz w:val="36"/>
                        </w:rPr>
                        <w:t>月</w:t>
                      </w:r>
                    </w:p>
                  </w:txbxContent>
                </v:textbox>
              </v:rect>
            </w:pict>
          </mc:Fallback>
        </mc:AlternateContent>
      </w:r>
    </w:p>
    <w:p w14:paraId="2437243A" w14:textId="77777777" w:rsidR="0033183A" w:rsidRDefault="002E5E5D">
      <w:pPr>
        <w:spacing w:after="106"/>
        <w:ind w:left="2604"/>
        <w:rPr>
          <w:rFonts w:ascii="Times New Roman" w:eastAsia="Times New Roman" w:hAnsi="Times New Roman" w:cs="Times New Roman"/>
          <w:b/>
          <w:sz w:val="32"/>
          <w:szCs w:val="32"/>
        </w:rPr>
      </w:pPr>
      <w:r>
        <w:rPr>
          <w:rFonts w:ascii="標楷體" w:eastAsia="標楷體" w:hAnsi="標楷體" w:cs="標楷體"/>
          <w:sz w:val="32"/>
          <w:szCs w:val="32"/>
          <w:u w:val="single"/>
        </w:rPr>
        <w:lastRenderedPageBreak/>
        <w:t>招</w:t>
      </w:r>
      <w:r>
        <w:rPr>
          <w:rFonts w:ascii="Times New Roman" w:eastAsia="Times New Roman" w:hAnsi="Times New Roman" w:cs="Times New Roman"/>
          <w:b/>
          <w:sz w:val="32"/>
          <w:szCs w:val="32"/>
          <w:u w:val="single"/>
        </w:rPr>
        <w:t xml:space="preserve">      </w:t>
      </w:r>
      <w:r>
        <w:rPr>
          <w:rFonts w:ascii="標楷體" w:eastAsia="標楷體" w:hAnsi="標楷體" w:cs="標楷體"/>
          <w:sz w:val="32"/>
          <w:szCs w:val="32"/>
          <w:u w:val="single"/>
        </w:rPr>
        <w:t>標</w:t>
      </w:r>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規</w:t>
      </w:r>
      <w:proofErr w:type="gramEnd"/>
      <w:r>
        <w:rPr>
          <w:rFonts w:ascii="Times New Roman" w:eastAsia="Times New Roman" w:hAnsi="Times New Roman" w:cs="Times New Roman"/>
          <w:b/>
          <w:sz w:val="32"/>
          <w:szCs w:val="32"/>
          <w:u w:val="single"/>
        </w:rPr>
        <w:t xml:space="preserve">      </w:t>
      </w:r>
      <w:proofErr w:type="gramStart"/>
      <w:r>
        <w:rPr>
          <w:rFonts w:ascii="標楷體" w:eastAsia="標楷體" w:hAnsi="標楷體" w:cs="標楷體"/>
          <w:sz w:val="32"/>
          <w:szCs w:val="32"/>
          <w:u w:val="single"/>
        </w:rPr>
        <w:t>範</w:t>
      </w:r>
      <w:proofErr w:type="gramEnd"/>
      <w:r>
        <w:rPr>
          <w:rFonts w:ascii="Times New Roman" w:eastAsia="Times New Roman" w:hAnsi="Times New Roman" w:cs="Times New Roman"/>
          <w:b/>
          <w:sz w:val="32"/>
          <w:szCs w:val="32"/>
        </w:rPr>
        <w:t xml:space="preserve"> </w:t>
      </w:r>
    </w:p>
    <w:p w14:paraId="72757ED6" w14:textId="77777777" w:rsidR="0033183A" w:rsidRDefault="002E5E5D">
      <w:pPr>
        <w:spacing w:after="106"/>
        <w:rPr>
          <w:rFonts w:ascii="標楷體" w:eastAsia="標楷體" w:hAnsi="標楷體" w:cs="標楷體"/>
        </w:rPr>
      </w:pPr>
      <w:r>
        <w:rPr>
          <w:rFonts w:ascii="標楷體" w:eastAsia="標楷體" w:hAnsi="標楷體" w:cs="標楷體"/>
        </w:rPr>
        <w:t xml:space="preserve"> </w:t>
      </w:r>
    </w:p>
    <w:p w14:paraId="208FD9AC" w14:textId="77777777" w:rsidR="0033183A" w:rsidRDefault="002E5E5D">
      <w:pPr>
        <w:spacing w:after="100"/>
        <w:ind w:left="960" w:hanging="480"/>
        <w:rPr>
          <w:rFonts w:ascii="標楷體" w:eastAsia="標楷體" w:hAnsi="標楷體" w:cs="標楷體"/>
          <w:color w:val="FF0000"/>
        </w:rPr>
      </w:pPr>
      <w:r>
        <w:rPr>
          <w:rFonts w:ascii="標楷體" w:eastAsia="標楷體" w:hAnsi="標楷體" w:cs="標楷體"/>
        </w:rPr>
        <w:t>一、標的名稱：</w:t>
      </w:r>
      <w:r>
        <w:rPr>
          <w:rFonts w:ascii="標楷體" w:eastAsia="標楷體" w:hAnsi="標楷體" w:cs="標楷體"/>
          <w:color w:val="FF0000"/>
        </w:rPr>
        <w:t>「</w:t>
      </w:r>
      <w:proofErr w:type="gramStart"/>
      <w:r>
        <w:rPr>
          <w:rFonts w:ascii="標楷體" w:eastAsia="標楷體" w:hAnsi="標楷體" w:cs="標楷體"/>
          <w:color w:val="FF0000"/>
        </w:rPr>
        <w:t>113</w:t>
      </w:r>
      <w:proofErr w:type="gramEnd"/>
      <w:r>
        <w:rPr>
          <w:rFonts w:ascii="標楷體" w:eastAsia="標楷體" w:hAnsi="標楷體" w:cs="標楷體"/>
          <w:color w:val="FF0000"/>
        </w:rPr>
        <w:t>年度新媒體部網路負載平衡設備更新」採購案</w:t>
      </w:r>
    </w:p>
    <w:p w14:paraId="499E4DC3" w14:textId="77777777" w:rsidR="0033183A" w:rsidRDefault="002E5E5D">
      <w:pPr>
        <w:spacing w:after="100"/>
        <w:ind w:left="960" w:hanging="480"/>
        <w:rPr>
          <w:rFonts w:ascii="標楷體" w:eastAsia="標楷體" w:hAnsi="標楷體" w:cs="標楷體"/>
        </w:rPr>
      </w:pPr>
      <w:r>
        <w:rPr>
          <w:rFonts w:ascii="標楷體" w:eastAsia="標楷體" w:hAnsi="標楷體" w:cs="標楷體"/>
        </w:rPr>
        <w:t>二、需求通則：</w:t>
      </w:r>
    </w:p>
    <w:p w14:paraId="591A071B"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)得標廠商(或稱立約商或廠商)負責本案之交貨、安裝、設定、檔案複製、驗證、測試及保固。</w:t>
      </w:r>
    </w:p>
    <w:p w14:paraId="568F8BC5"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(二)得標廠商需提供足夠安裝所需之機櫃零件，包含但不限於電源排插、電源轉接頭、層板、滑軌套件、螺絲及裝卸工具等相關配件以供本案使用。並負責本案軟硬體</w:t>
      </w:r>
      <w:proofErr w:type="gramStart"/>
      <w:r>
        <w:rPr>
          <w:rFonts w:ascii="標楷體" w:eastAsia="標楷體" w:hAnsi="標楷體" w:cs="標楷體"/>
        </w:rPr>
        <w:t>佈線施</w:t>
      </w:r>
      <w:proofErr w:type="gramEnd"/>
      <w:r>
        <w:rPr>
          <w:rFonts w:ascii="標楷體" w:eastAsia="標楷體" w:hAnsi="標楷體" w:cs="標楷體"/>
        </w:rPr>
        <w:t>作、安裝及測試等作業。</w:t>
      </w:r>
    </w:p>
    <w:p w14:paraId="5BF1F329"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(三) 得標廠商需執行本案顧問諮詢、操作教育訓練及保固期間之維護作業。應指派</w:t>
      </w:r>
      <w:proofErr w:type="gramStart"/>
      <w:r>
        <w:rPr>
          <w:rFonts w:ascii="標楷體" w:eastAsia="標楷體" w:hAnsi="標楷體" w:cs="標楷體"/>
        </w:rPr>
        <w:t>一</w:t>
      </w:r>
      <w:proofErr w:type="gramEnd"/>
      <w:r>
        <w:rPr>
          <w:rFonts w:ascii="標楷體" w:eastAsia="標楷體" w:hAnsi="標楷體" w:cs="標楷體"/>
        </w:rPr>
        <w:t>人為單一窗口專案負責人(工程師)，與中華電視股份有限公司(以下簡稱本公司)之指定人員協同合作；自議價得標日起，至保固服務結束日止，與本公司相關人員配合，提供技術服務顧問與保固維修工作事宜。任何必須整合本公司與得標廠商資源之維運</w:t>
      </w:r>
      <w:proofErr w:type="gramStart"/>
      <w:r>
        <w:rPr>
          <w:rFonts w:ascii="標楷體" w:eastAsia="標楷體" w:hAnsi="標楷體" w:cs="標楷體"/>
        </w:rPr>
        <w:t>工作均由得標</w:t>
      </w:r>
      <w:proofErr w:type="gramEnd"/>
      <w:r>
        <w:rPr>
          <w:rFonts w:ascii="標楷體" w:eastAsia="標楷體" w:hAnsi="標楷體" w:cs="標楷體"/>
        </w:rPr>
        <w:t>廠商負責協調。</w:t>
      </w:r>
    </w:p>
    <w:p w14:paraId="6C0A49A1"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(四)有關本案採購設備之統籌規劃及施作</w:t>
      </w:r>
      <w:proofErr w:type="gramStart"/>
      <w:r>
        <w:rPr>
          <w:rFonts w:ascii="標楷體" w:eastAsia="標楷體" w:hAnsi="標楷體" w:cs="標楷體"/>
        </w:rPr>
        <w:t>協調均由本</w:t>
      </w:r>
      <w:proofErr w:type="gramEnd"/>
      <w:r>
        <w:rPr>
          <w:rFonts w:ascii="標楷體" w:eastAsia="標楷體" w:hAnsi="標楷體" w:cs="標楷體"/>
        </w:rPr>
        <w:t>案得標廠商完全負責。若得標廠商提供之設備經實測無法達到預期功能或驗收標準，需自行增補設備至可以順利達成為止，對此得標廠商不得要求增加契約金額。</w:t>
      </w:r>
    </w:p>
    <w:p w14:paraId="61B7883E"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(五)所有提供之軟硬體設備(含安裝、測試及教育訓練課程)</w:t>
      </w:r>
      <w:proofErr w:type="gramStart"/>
      <w:r>
        <w:rPr>
          <w:rFonts w:ascii="標楷體" w:eastAsia="標楷體" w:hAnsi="標楷體" w:cs="標楷體"/>
        </w:rPr>
        <w:t>均應包含</w:t>
      </w:r>
      <w:proofErr w:type="gramEnd"/>
      <w:r>
        <w:rPr>
          <w:rFonts w:ascii="標楷體" w:eastAsia="標楷體" w:hAnsi="標楷體" w:cs="標楷體"/>
        </w:rPr>
        <w:t>在契約價款總額，不得於事後做任何增加契約金額的要求。</w:t>
      </w:r>
    </w:p>
    <w:p w14:paraId="58F29BF2"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(六)本案採購之軟硬體設備每套皆須含全套正本之相關手冊或電子檔</w:t>
      </w:r>
      <w:proofErr w:type="gramStart"/>
      <w:r>
        <w:rPr>
          <w:rFonts w:ascii="標楷體" w:eastAsia="標楷體" w:hAnsi="標楷體" w:cs="標楷體"/>
        </w:rPr>
        <w:t>ㄧ</w:t>
      </w:r>
      <w:proofErr w:type="gramEnd"/>
      <w:r>
        <w:rPr>
          <w:rFonts w:ascii="標楷體" w:eastAsia="標楷體" w:hAnsi="標楷體" w:cs="標楷體"/>
        </w:rPr>
        <w:t>套，於交貨時交付本公司，上述所衍生之相關費用由得標廠商自行負擔，原廠隨機附贈之相關光碟者仍需免費提供本公司。</w:t>
      </w:r>
    </w:p>
    <w:p w14:paraId="6E55828E"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(七)本案採購之軟硬體設備不得為中國品牌。</w:t>
      </w:r>
    </w:p>
    <w:p w14:paraId="617E7426"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(八)得標廠商簽約日後7個工作天內派遣工程人員會同本案相關人員至現場會</w:t>
      </w:r>
      <w:proofErr w:type="gramStart"/>
      <w:r>
        <w:rPr>
          <w:rFonts w:ascii="標楷體" w:eastAsia="標楷體" w:hAnsi="標楷體" w:cs="標楷體"/>
        </w:rPr>
        <w:t>勘</w:t>
      </w:r>
      <w:proofErr w:type="gramEnd"/>
      <w:r>
        <w:rPr>
          <w:rFonts w:ascii="標楷體" w:eastAsia="標楷體" w:hAnsi="標楷體" w:cs="標楷體"/>
        </w:rPr>
        <w:t>，並於簽約日後一個月內提供全案設備等之完整接線圖、系統方塊圖等。</w:t>
      </w:r>
    </w:p>
    <w:p w14:paraId="4B3ACBAB"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(九)施工期間得標廠商商須派遣合格技術人員全程在現場指導施工，並檢查核對所有線路配線，以確保品質及工作安全。施工期間須確保系統不能有中斷情形。</w:t>
      </w:r>
    </w:p>
    <w:p w14:paraId="29A42E3F"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(十)得標廠商於專案建置階段所知悉本公司之相關網路架構資訊(包含但</w:t>
      </w:r>
      <w:proofErr w:type="gramStart"/>
      <w:r>
        <w:rPr>
          <w:rFonts w:ascii="標楷體" w:eastAsia="標楷體" w:hAnsi="標楷體" w:cs="標楷體"/>
        </w:rPr>
        <w:t>不限路由</w:t>
      </w:r>
      <w:proofErr w:type="gramEnd"/>
      <w:r>
        <w:rPr>
          <w:rFonts w:ascii="標楷體" w:eastAsia="標楷體" w:hAnsi="標楷體" w:cs="標楷體"/>
        </w:rPr>
        <w:t>設定、IP資訊、個人資料等)，皆須負保密責任，不得轉知與專案無關之人員，並需於雙方之合約中載明保密規定。</w:t>
      </w:r>
    </w:p>
    <w:p w14:paraId="1A8EF989"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(十一)為確保建置期間之資通訊安全，得標廠商須訂有緊急應變程序，避免因事故發生時本公司遭受事故之影響而中斷服務。</w:t>
      </w:r>
    </w:p>
    <w:p w14:paraId="7A07BDA7"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(十二)本案所提供之硬體需為113年後出廠之設備。</w:t>
      </w:r>
    </w:p>
    <w:p w14:paraId="1603BB6A"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t>(十三) 廠商及</w:t>
      </w:r>
      <w:proofErr w:type="gramStart"/>
      <w:r>
        <w:rPr>
          <w:rFonts w:ascii="標楷體" w:eastAsia="標楷體" w:hAnsi="標楷體" w:cs="標楷體"/>
        </w:rPr>
        <w:t>複</w:t>
      </w:r>
      <w:proofErr w:type="gramEnd"/>
      <w:r>
        <w:rPr>
          <w:rFonts w:ascii="標楷體" w:eastAsia="標楷體" w:hAnsi="標楷體" w:cs="標楷體"/>
        </w:rPr>
        <w:t>委託之廠商不得為經濟部投資審議委員會公告之陸資資訊服務業者並須具備ISO27001證照。</w:t>
      </w:r>
    </w:p>
    <w:p w14:paraId="28397BD8" w14:textId="77777777" w:rsidR="0033183A" w:rsidRDefault="002E5E5D">
      <w:pPr>
        <w:spacing w:after="100"/>
        <w:ind w:left="1440" w:hanging="480"/>
        <w:jc w:val="both"/>
        <w:rPr>
          <w:rFonts w:ascii="標楷體" w:eastAsia="標楷體" w:hAnsi="標楷體" w:cs="標楷體"/>
        </w:rPr>
      </w:pPr>
      <w:r>
        <w:rPr>
          <w:rFonts w:ascii="標楷體" w:eastAsia="標楷體" w:hAnsi="標楷體" w:cs="標楷體"/>
        </w:rPr>
        <w:lastRenderedPageBreak/>
        <w:t>(十四)得標廠商須於全案驗收合格日之次日起提供每年專案標的物弱點掃描服務及每半年保設備維護檢查，得標廠商需提供弱點掃描服務報告書。</w:t>
      </w:r>
    </w:p>
    <w:p w14:paraId="4050D8FF" w14:textId="77777777" w:rsidR="0033183A" w:rsidRDefault="002E5E5D">
      <w:pPr>
        <w:spacing w:after="100"/>
        <w:ind w:left="960" w:hanging="480"/>
        <w:rPr>
          <w:rFonts w:ascii="標楷體" w:eastAsia="標楷體" w:hAnsi="標楷體" w:cs="標楷體"/>
        </w:rPr>
      </w:pPr>
      <w:r>
        <w:rPr>
          <w:rFonts w:ascii="標楷體" w:eastAsia="標楷體" w:hAnsi="標楷體" w:cs="標楷體"/>
        </w:rPr>
        <w:t>三、計劃書：</w:t>
      </w:r>
    </w:p>
    <w:p w14:paraId="78A18C12" w14:textId="77777777" w:rsidR="0033183A" w:rsidRDefault="002E5E5D">
      <w:pPr>
        <w:spacing w:after="100"/>
        <w:ind w:left="480"/>
        <w:rPr>
          <w:rFonts w:ascii="標楷體" w:eastAsia="標楷體" w:hAnsi="標楷體" w:cs="標楷體"/>
        </w:rPr>
      </w:pPr>
      <w:r>
        <w:rPr>
          <w:rFonts w:ascii="標楷體" w:eastAsia="標楷體" w:hAnsi="標楷體" w:cs="標楷體"/>
        </w:rPr>
        <w:t>計劃書內容須包含以下項目</w:t>
      </w:r>
    </w:p>
    <w:p w14:paraId="68877BC8" w14:textId="77777777" w:rsidR="0033183A" w:rsidRDefault="002E5E5D" w:rsidP="008B6BD4">
      <w:pPr>
        <w:numPr>
          <w:ilvl w:val="0"/>
          <w:numId w:val="2"/>
        </w:numPr>
        <w:pBdr>
          <w:top w:val="nil"/>
          <w:left w:val="nil"/>
          <w:bottom w:val="nil"/>
          <w:right w:val="nil"/>
          <w:between w:val="nil"/>
        </w:pBdr>
        <w:spacing w:after="100"/>
        <w:jc w:val="both"/>
        <w:rPr>
          <w:rFonts w:ascii="標楷體" w:eastAsia="標楷體" w:hAnsi="標楷體" w:cs="標楷體"/>
          <w:color w:val="000000"/>
        </w:rPr>
      </w:pPr>
      <w:r>
        <w:rPr>
          <w:rFonts w:ascii="標楷體" w:eastAsia="標楷體" w:hAnsi="標楷體" w:cs="標楷體"/>
          <w:color w:val="000000"/>
        </w:rPr>
        <w:t>廠商所提供之設備規格明細表，並註記所對應下表「規格需求」之項次編號。</w:t>
      </w:r>
    </w:p>
    <w:p w14:paraId="30A4A191" w14:textId="77777777" w:rsidR="0033183A" w:rsidRDefault="002E5E5D">
      <w:pPr>
        <w:numPr>
          <w:ilvl w:val="0"/>
          <w:numId w:val="2"/>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color w:val="000000"/>
        </w:rPr>
        <w:t>系統安裝上線步驟(包含系統還原策略)。</w:t>
      </w:r>
    </w:p>
    <w:p w14:paraId="36D6FF75" w14:textId="1F882E82" w:rsidR="0033183A" w:rsidRDefault="002E5E5D" w:rsidP="008B6BD4">
      <w:pPr>
        <w:numPr>
          <w:ilvl w:val="0"/>
          <w:numId w:val="2"/>
        </w:numPr>
        <w:pBdr>
          <w:top w:val="nil"/>
          <w:left w:val="nil"/>
          <w:bottom w:val="nil"/>
          <w:right w:val="nil"/>
          <w:between w:val="nil"/>
        </w:pBdr>
        <w:spacing w:after="100"/>
        <w:jc w:val="both"/>
        <w:rPr>
          <w:rFonts w:ascii="標楷體" w:eastAsia="標楷體" w:hAnsi="標楷體" w:cs="標楷體"/>
          <w:color w:val="000000"/>
        </w:rPr>
      </w:pPr>
      <w:r>
        <w:rPr>
          <w:rFonts w:ascii="標楷體" w:eastAsia="標楷體" w:hAnsi="標楷體" w:cs="標楷體"/>
          <w:color w:val="000000"/>
        </w:rPr>
        <w:t>本案執行內容所規定之安裝服務(如下表「規格需求」備註第七項)，廠商所提供之安裝步驟流程說明、安裝完成驗證方式說明。</w:t>
      </w:r>
    </w:p>
    <w:p w14:paraId="466CEC6B" w14:textId="7C8F99BB" w:rsidR="0094156A" w:rsidRDefault="0094156A">
      <w:pPr>
        <w:numPr>
          <w:ilvl w:val="0"/>
          <w:numId w:val="2"/>
        </w:numPr>
        <w:pBdr>
          <w:top w:val="nil"/>
          <w:left w:val="nil"/>
          <w:bottom w:val="nil"/>
          <w:right w:val="nil"/>
          <w:between w:val="nil"/>
        </w:pBdr>
        <w:spacing w:after="100"/>
        <w:rPr>
          <w:rFonts w:ascii="標楷體" w:eastAsia="標楷體" w:hAnsi="標楷體" w:cs="標楷體"/>
          <w:color w:val="000000"/>
        </w:rPr>
      </w:pPr>
      <w:r>
        <w:rPr>
          <w:rFonts w:ascii="標楷體" w:eastAsia="標楷體" w:hAnsi="標楷體" w:cs="標楷體" w:hint="eastAsia"/>
        </w:rPr>
        <w:t>ISO27001證書、技術人員原廠專業證照</w:t>
      </w:r>
      <w:r w:rsidR="008B6BD4">
        <w:rPr>
          <w:rFonts w:ascii="標楷體" w:eastAsia="標楷體" w:hAnsi="標楷體" w:cs="標楷體"/>
          <w:color w:val="000000"/>
        </w:rPr>
        <w:t>。</w:t>
      </w:r>
    </w:p>
    <w:p w14:paraId="711305CA" w14:textId="77777777" w:rsidR="0033183A" w:rsidRDefault="002E5E5D">
      <w:pPr>
        <w:spacing w:after="100"/>
        <w:ind w:left="960" w:hanging="480"/>
        <w:rPr>
          <w:rFonts w:ascii="標楷體" w:eastAsia="標楷體" w:hAnsi="標楷體" w:cs="標楷體"/>
        </w:rPr>
      </w:pPr>
      <w:r>
        <w:rPr>
          <w:rFonts w:ascii="標楷體" w:eastAsia="標楷體" w:hAnsi="標楷體" w:cs="標楷體"/>
        </w:rPr>
        <w:t xml:space="preserve">四、規格需求：              </w:t>
      </w:r>
    </w:p>
    <w:tbl>
      <w:tblPr>
        <w:tblStyle w:val="af5"/>
        <w:tblW w:w="9420" w:type="dxa"/>
        <w:tblInd w:w="-28" w:type="dxa"/>
        <w:tblLayout w:type="fixed"/>
        <w:tblLook w:val="0400" w:firstRow="0" w:lastRow="0" w:firstColumn="0" w:lastColumn="0" w:noHBand="0" w:noVBand="1"/>
      </w:tblPr>
      <w:tblGrid>
        <w:gridCol w:w="750"/>
        <w:gridCol w:w="1110"/>
        <w:gridCol w:w="6090"/>
        <w:gridCol w:w="720"/>
        <w:gridCol w:w="750"/>
      </w:tblGrid>
      <w:tr w:rsidR="0033183A" w14:paraId="20F20C18" w14:textId="77777777">
        <w:trPr>
          <w:trHeight w:val="406"/>
        </w:trPr>
        <w:tc>
          <w:tcPr>
            <w:tcW w:w="750" w:type="dxa"/>
            <w:tcBorders>
              <w:top w:val="single" w:sz="12" w:space="0" w:color="000000"/>
              <w:left w:val="single" w:sz="12" w:space="0" w:color="000000"/>
              <w:bottom w:val="single" w:sz="6" w:space="0" w:color="000000"/>
              <w:right w:val="single" w:sz="12" w:space="0" w:color="000000"/>
            </w:tcBorders>
          </w:tcPr>
          <w:p w14:paraId="01D211DE" w14:textId="77777777" w:rsidR="0033183A" w:rsidRDefault="002E5E5D">
            <w:pPr>
              <w:ind w:left="134"/>
              <w:jc w:val="both"/>
              <w:rPr>
                <w:rFonts w:ascii="標楷體" w:eastAsia="標楷體" w:hAnsi="標楷體" w:cs="標楷體"/>
              </w:rPr>
            </w:pPr>
            <w:r>
              <w:rPr>
                <w:rFonts w:ascii="標楷體" w:eastAsia="標楷體" w:hAnsi="標楷體" w:cs="標楷體"/>
              </w:rPr>
              <w:t>項次</w:t>
            </w:r>
            <w:r>
              <w:rPr>
                <w:rFonts w:ascii="標楷體" w:eastAsia="標楷體" w:hAnsi="標楷體" w:cs="標楷體"/>
                <w:b/>
              </w:rPr>
              <w:t xml:space="preserve"> </w:t>
            </w:r>
          </w:p>
        </w:tc>
        <w:tc>
          <w:tcPr>
            <w:tcW w:w="1110" w:type="dxa"/>
            <w:tcBorders>
              <w:top w:val="single" w:sz="12" w:space="0" w:color="000000"/>
              <w:left w:val="single" w:sz="12" w:space="0" w:color="000000"/>
              <w:bottom w:val="single" w:sz="6" w:space="0" w:color="000000"/>
              <w:right w:val="single" w:sz="12" w:space="0" w:color="000000"/>
            </w:tcBorders>
          </w:tcPr>
          <w:p w14:paraId="7304324F" w14:textId="77777777" w:rsidR="0033183A" w:rsidRDefault="002E5E5D">
            <w:pPr>
              <w:ind w:left="61"/>
              <w:jc w:val="center"/>
              <w:rPr>
                <w:rFonts w:ascii="標楷體" w:eastAsia="標楷體" w:hAnsi="標楷體" w:cs="標楷體"/>
              </w:rPr>
            </w:pPr>
            <w:r>
              <w:rPr>
                <w:rFonts w:ascii="標楷體" w:eastAsia="標楷體" w:hAnsi="標楷體" w:cs="標楷體"/>
              </w:rPr>
              <w:t>品   名</w:t>
            </w:r>
            <w:r>
              <w:rPr>
                <w:rFonts w:ascii="標楷體" w:eastAsia="標楷體" w:hAnsi="標楷體" w:cs="標楷體"/>
                <w:b/>
              </w:rPr>
              <w:t xml:space="preserve"> </w:t>
            </w:r>
          </w:p>
        </w:tc>
        <w:tc>
          <w:tcPr>
            <w:tcW w:w="6090" w:type="dxa"/>
            <w:tcBorders>
              <w:top w:val="single" w:sz="12" w:space="0" w:color="000000"/>
              <w:left w:val="single" w:sz="12" w:space="0" w:color="000000"/>
              <w:bottom w:val="single" w:sz="6" w:space="0" w:color="000000"/>
              <w:right w:val="single" w:sz="12" w:space="0" w:color="000000"/>
            </w:tcBorders>
          </w:tcPr>
          <w:p w14:paraId="030AF78B" w14:textId="77777777" w:rsidR="0033183A" w:rsidRDefault="002E5E5D">
            <w:pPr>
              <w:ind w:left="61"/>
              <w:jc w:val="center"/>
              <w:rPr>
                <w:rFonts w:ascii="標楷體" w:eastAsia="標楷體" w:hAnsi="標楷體" w:cs="標楷體"/>
              </w:rPr>
            </w:pPr>
            <w:proofErr w:type="gramStart"/>
            <w:r>
              <w:rPr>
                <w:rFonts w:ascii="標楷體" w:eastAsia="標楷體" w:hAnsi="標楷體" w:cs="標楷體"/>
              </w:rPr>
              <w:t>規</w:t>
            </w:r>
            <w:proofErr w:type="gramEnd"/>
            <w:r>
              <w:rPr>
                <w:rFonts w:ascii="標楷體" w:eastAsia="標楷體" w:hAnsi="標楷體" w:cs="標楷體"/>
                <w:b/>
              </w:rPr>
              <w:t xml:space="preserve">       </w:t>
            </w:r>
            <w:r>
              <w:rPr>
                <w:rFonts w:ascii="標楷體" w:eastAsia="標楷體" w:hAnsi="標楷體" w:cs="標楷體"/>
              </w:rPr>
              <w:t>格</w:t>
            </w:r>
            <w:r>
              <w:rPr>
                <w:rFonts w:ascii="標楷體" w:eastAsia="標楷體" w:hAnsi="標楷體" w:cs="標楷體"/>
                <w:b/>
              </w:rPr>
              <w:t xml:space="preserve"> </w:t>
            </w:r>
          </w:p>
        </w:tc>
        <w:tc>
          <w:tcPr>
            <w:tcW w:w="720" w:type="dxa"/>
            <w:tcBorders>
              <w:top w:val="single" w:sz="12" w:space="0" w:color="000000"/>
              <w:left w:val="single" w:sz="12" w:space="0" w:color="000000"/>
              <w:bottom w:val="single" w:sz="6" w:space="0" w:color="000000"/>
              <w:right w:val="single" w:sz="12" w:space="0" w:color="000000"/>
            </w:tcBorders>
          </w:tcPr>
          <w:p w14:paraId="56C736D5" w14:textId="77777777" w:rsidR="0033183A" w:rsidRDefault="002E5E5D">
            <w:pPr>
              <w:ind w:left="119"/>
              <w:jc w:val="both"/>
              <w:rPr>
                <w:rFonts w:ascii="標楷體" w:eastAsia="標楷體" w:hAnsi="標楷體" w:cs="標楷體"/>
              </w:rPr>
            </w:pPr>
            <w:r>
              <w:rPr>
                <w:rFonts w:ascii="標楷體" w:eastAsia="標楷體" w:hAnsi="標楷體" w:cs="標楷體"/>
              </w:rPr>
              <w:t>單位</w:t>
            </w:r>
            <w:r>
              <w:rPr>
                <w:rFonts w:ascii="標楷體" w:eastAsia="標楷體" w:hAnsi="標楷體" w:cs="標楷體"/>
                <w:b/>
              </w:rPr>
              <w:t xml:space="preserve"> </w:t>
            </w:r>
          </w:p>
        </w:tc>
        <w:tc>
          <w:tcPr>
            <w:tcW w:w="750" w:type="dxa"/>
            <w:tcBorders>
              <w:top w:val="single" w:sz="12" w:space="0" w:color="000000"/>
              <w:left w:val="single" w:sz="12" w:space="0" w:color="000000"/>
              <w:bottom w:val="single" w:sz="6" w:space="0" w:color="000000"/>
              <w:right w:val="single" w:sz="12" w:space="0" w:color="000000"/>
            </w:tcBorders>
          </w:tcPr>
          <w:p w14:paraId="338F7115" w14:textId="77777777" w:rsidR="0033183A" w:rsidRDefault="002E5E5D">
            <w:pPr>
              <w:ind w:left="134"/>
              <w:jc w:val="both"/>
              <w:rPr>
                <w:rFonts w:ascii="標楷體" w:eastAsia="標楷體" w:hAnsi="標楷體" w:cs="標楷體"/>
              </w:rPr>
            </w:pPr>
            <w:r>
              <w:rPr>
                <w:rFonts w:ascii="標楷體" w:eastAsia="標楷體" w:hAnsi="標楷體" w:cs="標楷體"/>
              </w:rPr>
              <w:t>數量</w:t>
            </w:r>
          </w:p>
        </w:tc>
      </w:tr>
      <w:tr w:rsidR="0033183A" w14:paraId="64352B6D" w14:textId="77777777">
        <w:trPr>
          <w:trHeight w:val="3625"/>
        </w:trPr>
        <w:tc>
          <w:tcPr>
            <w:tcW w:w="750" w:type="dxa"/>
            <w:tcBorders>
              <w:top w:val="single" w:sz="6" w:space="0" w:color="000000"/>
              <w:left w:val="single" w:sz="12" w:space="0" w:color="000000"/>
              <w:right w:val="single" w:sz="12" w:space="0" w:color="000000"/>
            </w:tcBorders>
          </w:tcPr>
          <w:p w14:paraId="00C6C9EB" w14:textId="77777777" w:rsidR="0033183A" w:rsidRDefault="002E5E5D">
            <w:pPr>
              <w:spacing w:after="60"/>
              <w:ind w:left="61"/>
              <w:jc w:val="center"/>
              <w:rPr>
                <w:rFonts w:ascii="標楷體" w:eastAsia="標楷體" w:hAnsi="標楷體" w:cs="標楷體"/>
              </w:rPr>
            </w:pPr>
            <w:r>
              <w:rPr>
                <w:rFonts w:ascii="標楷體" w:eastAsia="標楷體" w:hAnsi="標楷體" w:cs="標楷體"/>
              </w:rPr>
              <w:t xml:space="preserve">1 </w:t>
            </w:r>
          </w:p>
        </w:tc>
        <w:tc>
          <w:tcPr>
            <w:tcW w:w="1110" w:type="dxa"/>
            <w:tcBorders>
              <w:top w:val="single" w:sz="6" w:space="0" w:color="000000"/>
              <w:left w:val="single" w:sz="12" w:space="0" w:color="000000"/>
              <w:bottom w:val="single" w:sz="4" w:space="0" w:color="000000"/>
              <w:right w:val="single" w:sz="12" w:space="0" w:color="000000"/>
            </w:tcBorders>
          </w:tcPr>
          <w:p w14:paraId="653CDDA3" w14:textId="77777777" w:rsidR="0033183A" w:rsidRDefault="002E5E5D">
            <w:pPr>
              <w:spacing w:after="41"/>
              <w:ind w:left="59"/>
              <w:jc w:val="center"/>
              <w:rPr>
                <w:rFonts w:ascii="標楷體" w:eastAsia="標楷體" w:hAnsi="標楷體" w:cs="標楷體"/>
              </w:rPr>
            </w:pPr>
            <w:r>
              <w:rPr>
                <w:rFonts w:ascii="標楷體" w:eastAsia="標楷體" w:hAnsi="標楷體" w:cs="標楷體"/>
              </w:rPr>
              <w:t xml:space="preserve">網路負載平衡設備  </w:t>
            </w:r>
          </w:p>
        </w:tc>
        <w:tc>
          <w:tcPr>
            <w:tcW w:w="6090" w:type="dxa"/>
            <w:tcBorders>
              <w:top w:val="single" w:sz="6" w:space="0" w:color="000000"/>
              <w:left w:val="single" w:sz="12" w:space="0" w:color="000000"/>
              <w:bottom w:val="single" w:sz="4" w:space="0" w:color="000000"/>
              <w:right w:val="single" w:sz="12" w:space="0" w:color="000000"/>
            </w:tcBorders>
          </w:tcPr>
          <w:p w14:paraId="6B0FA8EE" w14:textId="77777777" w:rsidR="0033183A" w:rsidRDefault="002E5E5D">
            <w:pPr>
              <w:widowControl/>
              <w:numPr>
                <w:ilvl w:val="0"/>
                <w:numId w:val="4"/>
              </w:numPr>
              <w:spacing w:after="45" w:line="259" w:lineRule="auto"/>
              <w:rPr>
                <w:rFonts w:ascii="標楷體" w:eastAsia="標楷體" w:hAnsi="標楷體" w:cs="標楷體"/>
              </w:rPr>
            </w:pPr>
            <w:r>
              <w:rPr>
                <w:rFonts w:ascii="標楷體" w:eastAsia="標楷體" w:hAnsi="標楷體" w:cs="標楷體"/>
              </w:rPr>
              <w:t>傳輸介面和模組功能:具備獨立主機</w:t>
            </w:r>
            <w:proofErr w:type="gramStart"/>
            <w:r>
              <w:rPr>
                <w:rFonts w:ascii="標楷體" w:eastAsia="標楷體" w:hAnsi="標楷體" w:cs="標楷體"/>
              </w:rPr>
              <w:t>採</w:t>
            </w:r>
            <w:proofErr w:type="gramEnd"/>
            <w:r>
              <w:rPr>
                <w:rFonts w:ascii="標楷體" w:eastAsia="標楷體" w:hAnsi="標楷體" w:cs="標楷體"/>
              </w:rPr>
              <w:t>硬體式設備(Hardware Appliance)架構，並使用嵌入式或專屬作業系統，提供 7 埠(含)以上 1 GE Copper、4埠(含)以上 10/1GE Fiber 光纖介面 (SFP+/SFP)、2 埠(含)以上25/10GE Fiber (SFP28/SFP+)。</w:t>
            </w:r>
          </w:p>
          <w:p w14:paraId="52D09B49"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具備下列資料處理能力:Layer 4 流量(Throughput)處理能力可達 20 Gbps (含)以上、同時連線數(Concurrent Sessions)可達 32 million(含)以上、Layer 4 每秒連線處理能力 CPS( Connections Per Second)可達 500K (含)以上、SSL ECDSA 每秒需求處理能力 CPS( Connections Per Second)可達 5 K(含)以上、SSL 流量(Throughput)處理能力可達 9 Gbps (含)以上</w:t>
            </w:r>
            <w:r>
              <w:rPr>
                <w:rFonts w:ascii="標楷體" w:eastAsia="標楷體" w:hAnsi="標楷體" w:cs="標楷體"/>
                <w:color w:val="000000"/>
              </w:rPr>
              <w:t xml:space="preserve">。 </w:t>
            </w:r>
          </w:p>
          <w:p w14:paraId="27E21DDB" w14:textId="77777777" w:rsidR="0033183A" w:rsidRDefault="002E5E5D">
            <w:pPr>
              <w:widowControl/>
              <w:numPr>
                <w:ilvl w:val="0"/>
                <w:numId w:val="4"/>
              </w:numPr>
              <w:spacing w:after="45" w:line="259" w:lineRule="auto"/>
              <w:rPr>
                <w:rFonts w:ascii="標楷體" w:eastAsia="標楷體" w:hAnsi="標楷體" w:cs="標楷體"/>
              </w:rPr>
            </w:pPr>
            <w:r>
              <w:rPr>
                <w:rFonts w:ascii="標楷體" w:eastAsia="標楷體" w:hAnsi="標楷體" w:cs="標楷體"/>
              </w:rPr>
              <w:t>具備下列伺服器負載平衡(Server Load Balancing)功能: Round Robin 模式、Least Connection 模式、Response Time 模式、Weighted 模式。</w:t>
            </w:r>
          </w:p>
          <w:p w14:paraId="28A02856" w14:textId="77777777" w:rsidR="0033183A" w:rsidRDefault="002E5E5D">
            <w:pPr>
              <w:widowControl/>
              <w:numPr>
                <w:ilvl w:val="0"/>
                <w:numId w:val="4"/>
              </w:numPr>
              <w:spacing w:after="45" w:line="259" w:lineRule="auto"/>
              <w:rPr>
                <w:rFonts w:ascii="標楷體" w:eastAsia="標楷體" w:hAnsi="標楷體" w:cs="標楷體"/>
              </w:rPr>
            </w:pPr>
            <w:r>
              <w:rPr>
                <w:rFonts w:ascii="標楷體" w:eastAsia="標楷體" w:hAnsi="標楷體" w:cs="標楷體"/>
              </w:rPr>
              <w:t>具備下列負載平衡之連線堅持(Persistence)功能:Cookie Persistence、Destination address Persistence、Source address Persistence、SSL ID Persistence。</w:t>
            </w:r>
          </w:p>
          <w:p w14:paraId="2338338D" w14:textId="77777777" w:rsidR="0033183A" w:rsidRDefault="002E5E5D">
            <w:pPr>
              <w:widowControl/>
              <w:numPr>
                <w:ilvl w:val="0"/>
                <w:numId w:val="4"/>
              </w:numPr>
              <w:spacing w:after="45" w:line="259" w:lineRule="auto"/>
              <w:rPr>
                <w:rFonts w:ascii="標楷體" w:eastAsia="標楷體" w:hAnsi="標楷體" w:cs="標楷體"/>
              </w:rPr>
            </w:pPr>
            <w:r>
              <w:rPr>
                <w:rFonts w:ascii="標楷體" w:eastAsia="標楷體" w:hAnsi="標楷體" w:cs="標楷體"/>
              </w:rPr>
              <w:t>最具備 Global Server Load Balancing(GSLB)廣域負載平衡及內建 DNS 功能, 並能回應 A Record，CNAME，MX record，且支援 DNSSEC 功能以確保 DNS 安全</w:t>
            </w:r>
            <w:r>
              <w:rPr>
                <w:rFonts w:ascii="標楷體" w:eastAsia="標楷體" w:hAnsi="標楷體" w:cs="標楷體"/>
                <w:color w:val="000000"/>
              </w:rPr>
              <w:t xml:space="preserve">。 </w:t>
            </w:r>
          </w:p>
          <w:p w14:paraId="3E1E6690"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lastRenderedPageBreak/>
              <w:t>具備下列負載平衡之連線堅持(Persistence)功能:Cookie Persistence、Destination address Persistence、Source address Persistence、SIP Persistence、SSL ID Persistence</w:t>
            </w:r>
            <w:r>
              <w:rPr>
                <w:rFonts w:ascii="標楷體" w:eastAsia="標楷體" w:hAnsi="標楷體" w:cs="標楷體"/>
                <w:color w:val="000000"/>
              </w:rPr>
              <w:t xml:space="preserve">。 </w:t>
            </w:r>
          </w:p>
          <w:p w14:paraId="2F5180F3"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最具備 Global Server Load Balancing(GSLB)廣域負載平衡及內建 DNS 功能, 並能回應 A Record，CNAME，MX record，且支援 DNSSEC 功能以確保 DNS 安全</w:t>
            </w:r>
            <w:r>
              <w:rPr>
                <w:rFonts w:ascii="標楷體" w:eastAsia="標楷體" w:hAnsi="標楷體" w:cs="標楷體"/>
                <w:color w:val="000000"/>
              </w:rPr>
              <w:t xml:space="preserve">。 </w:t>
            </w:r>
          </w:p>
          <w:p w14:paraId="64CCAD90"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具備資料庫負載平衡功能，支援 Microsoft SQL 與 MySQL 兩種資料庫</w:t>
            </w:r>
            <w:r>
              <w:rPr>
                <w:rFonts w:ascii="標楷體" w:eastAsia="標楷體" w:hAnsi="標楷體" w:cs="標楷體"/>
                <w:color w:val="000000"/>
              </w:rPr>
              <w:t xml:space="preserve">。 </w:t>
            </w:r>
          </w:p>
          <w:p w14:paraId="1B2B4B80"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 RIP（Routing Information Protocol）或 Static Route 路由協定，支援 IPV6 Static Route或 RIP v2 或 OSPF v3 路由協定</w:t>
            </w:r>
            <w:r>
              <w:rPr>
                <w:rFonts w:ascii="標楷體" w:eastAsia="標楷體" w:hAnsi="標楷體" w:cs="標楷體"/>
                <w:color w:val="000000"/>
              </w:rPr>
              <w:t xml:space="preserve">。 </w:t>
            </w:r>
          </w:p>
          <w:p w14:paraId="66FC2D56"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可自動偵測 DDoS(Distributed Denial of Service)攻擊行為並產生阻擋，DDoS 防禦能力可阻擋SYN Flood 攻擊，以保護後端伺服器不會因為遭受攻擊而導致服務中斷</w:t>
            </w:r>
            <w:r>
              <w:rPr>
                <w:rFonts w:ascii="標楷體" w:eastAsia="標楷體" w:hAnsi="標楷體" w:cs="標楷體"/>
                <w:color w:val="000000"/>
              </w:rPr>
              <w:t xml:space="preserve">。 </w:t>
            </w:r>
          </w:p>
          <w:p w14:paraId="73643327"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 NAT(Network Address Translation)位址轉換功能</w:t>
            </w:r>
            <w:r>
              <w:rPr>
                <w:rFonts w:ascii="標楷體" w:eastAsia="標楷體" w:hAnsi="標楷體" w:cs="標楷體"/>
                <w:color w:val="000000"/>
              </w:rPr>
              <w:t xml:space="preserve">。 </w:t>
            </w:r>
          </w:p>
          <w:p w14:paraId="660B431F"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提供 HTTP 壓縮(Compression)及記憶體快取(Ram Cache)等加速功能，並具備 TCP 連線優化功能以降低伺服器連線負擔</w:t>
            </w:r>
            <w:r>
              <w:rPr>
                <w:rFonts w:ascii="標楷體" w:eastAsia="標楷體" w:hAnsi="標楷體" w:cs="標楷體"/>
                <w:color w:val="000000"/>
              </w:rPr>
              <w:t xml:space="preserve">。 </w:t>
            </w:r>
          </w:p>
          <w:p w14:paraId="591AE217"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具備硬體 SSL(Secure Sockets Layer)加速(Acceleration)與卸載(Offload)功能，並支援 TLS1.2 及 TLS 1.3 加解密功能</w:t>
            </w:r>
            <w:r>
              <w:rPr>
                <w:rFonts w:ascii="標楷體" w:eastAsia="標楷體" w:hAnsi="標楷體" w:cs="標楷體"/>
                <w:color w:val="000000"/>
              </w:rPr>
              <w:t xml:space="preserve">。 </w:t>
            </w:r>
          </w:p>
          <w:p w14:paraId="7760606C"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提供 CLI(Command Line Interface)、SSH 命令列管理介面與 Web GUI 管理介面，並可提供事件紀錄及韌體更新等功能</w:t>
            </w:r>
            <w:r>
              <w:rPr>
                <w:rFonts w:ascii="標楷體" w:eastAsia="標楷體" w:hAnsi="標楷體" w:cs="標楷體"/>
                <w:color w:val="000000"/>
              </w:rPr>
              <w:t xml:space="preserve">。 </w:t>
            </w:r>
          </w:p>
          <w:p w14:paraId="476007CB"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提供 REST-based格式之應用程式開發介面 (API) , 以利</w:t>
            </w:r>
            <w:proofErr w:type="gramStart"/>
            <w:r>
              <w:rPr>
                <w:rFonts w:ascii="標楷體" w:eastAsia="標楷體" w:hAnsi="標楷體" w:cs="標楷體"/>
              </w:rPr>
              <w:t>第三方客制</w:t>
            </w:r>
            <w:proofErr w:type="gramEnd"/>
            <w:r>
              <w:rPr>
                <w:rFonts w:ascii="標楷體" w:eastAsia="標楷體" w:hAnsi="標楷體" w:cs="標楷體"/>
              </w:rPr>
              <w:t>化應用程式整合</w:t>
            </w:r>
            <w:r>
              <w:rPr>
                <w:rFonts w:ascii="標楷體" w:eastAsia="標楷體" w:hAnsi="標楷體" w:cs="標楷體"/>
                <w:color w:val="000000"/>
              </w:rPr>
              <w:t xml:space="preserve">。 </w:t>
            </w:r>
          </w:p>
          <w:p w14:paraId="4A17DAA0"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系統需具備自定義腳本功能，並上傳至設備, 可使系統管理員依據應用內容之資料做為負載均衡之依據</w:t>
            </w:r>
            <w:r>
              <w:rPr>
                <w:rFonts w:ascii="標楷體" w:eastAsia="標楷體" w:hAnsi="標楷體" w:cs="標楷體"/>
                <w:color w:val="000000"/>
              </w:rPr>
              <w:t xml:space="preserve">。 </w:t>
            </w:r>
          </w:p>
          <w:p w14:paraId="102B0AD6"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系統具備匯入自訂之健康檢查方法</w:t>
            </w:r>
            <w:r>
              <w:rPr>
                <w:rFonts w:ascii="標楷體" w:eastAsia="標楷體" w:hAnsi="標楷體" w:cs="標楷體"/>
                <w:color w:val="000000"/>
              </w:rPr>
              <w:t xml:space="preserve">。 </w:t>
            </w:r>
          </w:p>
          <w:p w14:paraId="5E4B7DFF"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具備鏈路負載均衡 (Link Load Balancing )之功能，</w:t>
            </w:r>
            <w:proofErr w:type="gramStart"/>
            <w:r>
              <w:rPr>
                <w:rFonts w:ascii="標楷體" w:eastAsia="標楷體" w:hAnsi="標楷體" w:cs="標楷體"/>
              </w:rPr>
              <w:t>支援多鏈路</w:t>
            </w:r>
            <w:proofErr w:type="gramEnd"/>
            <w:r>
              <w:rPr>
                <w:rFonts w:ascii="標楷體" w:eastAsia="標楷體" w:hAnsi="標楷體" w:cs="標楷體"/>
              </w:rPr>
              <w:t>接入模式及單一會話連接</w:t>
            </w:r>
            <w:proofErr w:type="gramStart"/>
            <w:r>
              <w:rPr>
                <w:rFonts w:ascii="標楷體" w:eastAsia="標楷體" w:hAnsi="標楷體" w:cs="標楷體"/>
              </w:rPr>
              <w:t>使用同鏈路</w:t>
            </w:r>
            <w:proofErr w:type="gramEnd"/>
            <w:r>
              <w:rPr>
                <w:rFonts w:ascii="標楷體" w:eastAsia="標楷體" w:hAnsi="標楷體" w:cs="標楷體"/>
              </w:rPr>
              <w:t>進出之功能</w:t>
            </w:r>
            <w:r>
              <w:rPr>
                <w:rFonts w:ascii="標楷體" w:eastAsia="標楷體" w:hAnsi="標楷體" w:cs="標楷體"/>
                <w:color w:val="000000"/>
              </w:rPr>
              <w:t xml:space="preserve">。 </w:t>
            </w:r>
          </w:p>
          <w:p w14:paraId="112D79B4"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可支援 16 組以上(含)虛擬負載平衡設備，每一分區具備獨立的路由表及 IP、動態路由等功能，且每一</w:t>
            </w:r>
            <w:r>
              <w:rPr>
                <w:rFonts w:ascii="標楷體" w:eastAsia="標楷體" w:hAnsi="標楷體" w:cs="標楷體"/>
              </w:rPr>
              <w:lastRenderedPageBreak/>
              <w:t>組虛擬系統可分別設定各別的管理者帳號並只看見自己所擁有之虛擬系統</w:t>
            </w:r>
            <w:r>
              <w:rPr>
                <w:rFonts w:ascii="標楷體" w:eastAsia="標楷體" w:hAnsi="標楷體" w:cs="標楷體"/>
                <w:color w:val="000000"/>
              </w:rPr>
              <w:t xml:space="preserve">。 </w:t>
            </w:r>
          </w:p>
          <w:p w14:paraId="18A2AE9B"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獨立主機</w:t>
            </w:r>
            <w:proofErr w:type="gramStart"/>
            <w:r>
              <w:rPr>
                <w:rFonts w:ascii="標楷體" w:eastAsia="標楷體" w:hAnsi="標楷體" w:cs="標楷體"/>
              </w:rPr>
              <w:t>機</w:t>
            </w:r>
            <w:proofErr w:type="gramEnd"/>
            <w:r>
              <w:rPr>
                <w:rFonts w:ascii="標楷體" w:eastAsia="標楷體" w:hAnsi="標楷體" w:cs="標楷體"/>
              </w:rPr>
              <w:t>箱本身提供 2 顆電源供應器，具備熱</w:t>
            </w:r>
            <w:proofErr w:type="gramStart"/>
            <w:r>
              <w:rPr>
                <w:rFonts w:ascii="標楷體" w:eastAsia="標楷體" w:hAnsi="標楷體" w:cs="標楷體"/>
              </w:rPr>
              <w:t>抽取式備援</w:t>
            </w:r>
            <w:proofErr w:type="gramEnd"/>
            <w:r>
              <w:rPr>
                <w:rFonts w:ascii="標楷體" w:eastAsia="標楷體" w:hAnsi="標楷體" w:cs="標楷體"/>
              </w:rPr>
              <w:t>功能</w:t>
            </w:r>
            <w:r>
              <w:rPr>
                <w:rFonts w:ascii="標楷體" w:eastAsia="標楷體" w:hAnsi="標楷體" w:cs="標楷體"/>
                <w:color w:val="000000"/>
              </w:rPr>
              <w:t xml:space="preserve">。 </w:t>
            </w:r>
          </w:p>
          <w:p w14:paraId="34113D56"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 xml:space="preserve">符合標準 19 </w:t>
            </w:r>
            <w:proofErr w:type="gramStart"/>
            <w:r>
              <w:rPr>
                <w:rFonts w:ascii="標楷體" w:eastAsia="標楷體" w:hAnsi="標楷體" w:cs="標楷體"/>
              </w:rPr>
              <w:t>吋機架式</w:t>
            </w:r>
            <w:proofErr w:type="gramEnd"/>
            <w:r>
              <w:rPr>
                <w:rFonts w:ascii="標楷體" w:eastAsia="標楷體" w:hAnsi="標楷體" w:cs="標楷體"/>
              </w:rPr>
              <w:t>規格，單一設備高度不得超過 1U(含)</w:t>
            </w:r>
            <w:r>
              <w:rPr>
                <w:rFonts w:ascii="標楷體" w:eastAsia="標楷體" w:hAnsi="標楷體" w:cs="標楷體"/>
                <w:color w:val="000000"/>
              </w:rPr>
              <w:t>。</w:t>
            </w:r>
          </w:p>
          <w:p w14:paraId="146ADB98"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rPr>
              <w:t>支援網路設備 HA(High Availability)備援功能，使單機發生故障無法運作時, 備援設備可接續網路運作</w:t>
            </w:r>
            <w:r>
              <w:rPr>
                <w:rFonts w:ascii="標楷體" w:eastAsia="標楷體" w:hAnsi="標楷體" w:cs="標楷體"/>
                <w:color w:val="000000"/>
              </w:rPr>
              <w:t>。</w:t>
            </w:r>
          </w:p>
          <w:p w14:paraId="62771768"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具備 IPv4/IPv6 雙協定(Dual Stack)技術，同時提供 IPv4 與 IPv6 處理能力。</w:t>
            </w:r>
          </w:p>
          <w:p w14:paraId="0DC9CBAC"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需符合下列規範 : FCC Class A, UL, CE。</w:t>
            </w:r>
          </w:p>
          <w:p w14:paraId="119745A0" w14:textId="77777777" w:rsidR="0033183A" w:rsidRDefault="002E5E5D">
            <w:pPr>
              <w:widowControl/>
              <w:numPr>
                <w:ilvl w:val="0"/>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設備需提供下列管理機制</w:t>
            </w:r>
          </w:p>
          <w:p w14:paraId="7356D12E"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可新增、停用、刪除使用者帳號</w:t>
            </w:r>
          </w:p>
          <w:p w14:paraId="64A3CB8B"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可依群組方式賦予各帳號權限</w:t>
            </w:r>
          </w:p>
          <w:p w14:paraId="7AC47AD2"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可設定密碼長度、密碼複雜度、密碼錯誤N伺候鎖定帳號等</w:t>
            </w:r>
          </w:p>
          <w:p w14:paraId="5EA8B6A2"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可設定閒置時間，系統可自動登出閒置過久之帳號</w:t>
            </w:r>
          </w:p>
          <w:p w14:paraId="097357DF"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可將系統日誌匯出</w:t>
            </w:r>
          </w:p>
          <w:p w14:paraId="28FEB285"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可選擇是否開啟系統事件紀錄</w:t>
            </w:r>
          </w:p>
          <w:p w14:paraId="4E136E1C"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可設定系統校時對象</w:t>
            </w:r>
          </w:p>
          <w:p w14:paraId="5A74012F" w14:textId="77777777" w:rsidR="0033183A" w:rsidRDefault="002E5E5D">
            <w:pPr>
              <w:widowControl/>
              <w:numPr>
                <w:ilvl w:val="1"/>
                <w:numId w:val="4"/>
              </w:numPr>
              <w:pBdr>
                <w:top w:val="nil"/>
                <w:left w:val="nil"/>
                <w:bottom w:val="nil"/>
                <w:right w:val="nil"/>
                <w:between w:val="nil"/>
              </w:pBdr>
              <w:spacing w:after="45" w:line="259" w:lineRule="auto"/>
              <w:rPr>
                <w:rFonts w:ascii="標楷體" w:eastAsia="標楷體" w:hAnsi="標楷體" w:cs="標楷體"/>
              </w:rPr>
            </w:pPr>
            <w:r>
              <w:rPr>
                <w:rFonts w:ascii="標楷體" w:eastAsia="標楷體" w:hAnsi="標楷體" w:cs="標楷體"/>
              </w:rPr>
              <w:t>可將系統設定備份</w:t>
            </w:r>
          </w:p>
        </w:tc>
        <w:tc>
          <w:tcPr>
            <w:tcW w:w="720" w:type="dxa"/>
            <w:tcBorders>
              <w:top w:val="single" w:sz="6" w:space="0" w:color="000000"/>
              <w:left w:val="single" w:sz="12" w:space="0" w:color="000000"/>
              <w:bottom w:val="single" w:sz="4" w:space="0" w:color="000000"/>
              <w:right w:val="single" w:sz="12" w:space="0" w:color="000000"/>
            </w:tcBorders>
          </w:tcPr>
          <w:p w14:paraId="2F5E6030" w14:textId="77777777" w:rsidR="0033183A" w:rsidRDefault="002E5E5D">
            <w:pPr>
              <w:spacing w:after="40"/>
              <w:ind w:left="239"/>
              <w:rPr>
                <w:rFonts w:ascii="標楷體" w:eastAsia="標楷體" w:hAnsi="標楷體" w:cs="標楷體"/>
              </w:rPr>
            </w:pPr>
            <w:r>
              <w:rPr>
                <w:rFonts w:ascii="標楷體" w:eastAsia="標楷體" w:hAnsi="標楷體" w:cs="標楷體"/>
              </w:rPr>
              <w:lastRenderedPageBreak/>
              <w:t xml:space="preserve">台 </w:t>
            </w:r>
          </w:p>
        </w:tc>
        <w:tc>
          <w:tcPr>
            <w:tcW w:w="750" w:type="dxa"/>
            <w:tcBorders>
              <w:top w:val="single" w:sz="6" w:space="0" w:color="000000"/>
              <w:left w:val="single" w:sz="12" w:space="0" w:color="000000"/>
              <w:bottom w:val="single" w:sz="4" w:space="0" w:color="000000"/>
              <w:right w:val="single" w:sz="12" w:space="0" w:color="000000"/>
            </w:tcBorders>
          </w:tcPr>
          <w:p w14:paraId="529CCB6E" w14:textId="77777777" w:rsidR="0033183A" w:rsidRDefault="002E5E5D">
            <w:pPr>
              <w:spacing w:after="60"/>
              <w:ind w:left="61"/>
              <w:jc w:val="center"/>
              <w:rPr>
                <w:rFonts w:ascii="標楷體" w:eastAsia="標楷體" w:hAnsi="標楷體" w:cs="標楷體"/>
              </w:rPr>
            </w:pPr>
            <w:r>
              <w:rPr>
                <w:rFonts w:ascii="標楷體" w:eastAsia="標楷體" w:hAnsi="標楷體" w:cs="標楷體"/>
              </w:rPr>
              <w:t>2</w:t>
            </w:r>
          </w:p>
        </w:tc>
      </w:tr>
      <w:tr w:rsidR="0033183A" w14:paraId="72E44EE9" w14:textId="77777777">
        <w:trPr>
          <w:trHeight w:val="59"/>
        </w:trPr>
        <w:tc>
          <w:tcPr>
            <w:tcW w:w="750" w:type="dxa"/>
            <w:tcBorders>
              <w:top w:val="single" w:sz="6" w:space="0" w:color="000000"/>
              <w:left w:val="single" w:sz="12" w:space="0" w:color="000000"/>
              <w:right w:val="single" w:sz="12" w:space="0" w:color="000000"/>
            </w:tcBorders>
          </w:tcPr>
          <w:p w14:paraId="66CFE716" w14:textId="77777777" w:rsidR="0033183A" w:rsidRDefault="002E5E5D">
            <w:pPr>
              <w:spacing w:after="60"/>
              <w:ind w:left="61"/>
              <w:jc w:val="center"/>
              <w:rPr>
                <w:rFonts w:ascii="標楷體" w:eastAsia="標楷體" w:hAnsi="標楷體" w:cs="標楷體"/>
              </w:rPr>
            </w:pPr>
            <w:r>
              <w:rPr>
                <w:rFonts w:ascii="標楷體" w:eastAsia="標楷體" w:hAnsi="標楷體" w:cs="標楷體"/>
              </w:rPr>
              <w:lastRenderedPageBreak/>
              <w:t>2</w:t>
            </w:r>
          </w:p>
        </w:tc>
        <w:tc>
          <w:tcPr>
            <w:tcW w:w="1110" w:type="dxa"/>
            <w:tcBorders>
              <w:top w:val="single" w:sz="6" w:space="0" w:color="000000"/>
              <w:left w:val="single" w:sz="12" w:space="0" w:color="000000"/>
              <w:bottom w:val="single" w:sz="4" w:space="0" w:color="000000"/>
              <w:right w:val="single" w:sz="12" w:space="0" w:color="000000"/>
            </w:tcBorders>
          </w:tcPr>
          <w:p w14:paraId="50E125CF" w14:textId="77777777" w:rsidR="0033183A" w:rsidRDefault="002E5E5D">
            <w:pPr>
              <w:spacing w:after="41"/>
              <w:ind w:left="59"/>
              <w:jc w:val="center"/>
              <w:rPr>
                <w:rFonts w:ascii="標楷體" w:eastAsia="標楷體" w:hAnsi="標楷體" w:cs="標楷體"/>
              </w:rPr>
            </w:pPr>
            <w:r>
              <w:rPr>
                <w:rFonts w:ascii="標楷體" w:eastAsia="標楷體" w:hAnsi="標楷體" w:cs="標楷體"/>
              </w:rPr>
              <w:t>保固服務</w:t>
            </w:r>
          </w:p>
        </w:tc>
        <w:tc>
          <w:tcPr>
            <w:tcW w:w="6090" w:type="dxa"/>
            <w:tcBorders>
              <w:top w:val="single" w:sz="6" w:space="0" w:color="000000"/>
              <w:left w:val="single" w:sz="12" w:space="0" w:color="000000"/>
              <w:bottom w:val="single" w:sz="4" w:space="0" w:color="000000"/>
              <w:right w:val="single" w:sz="12" w:space="0" w:color="000000"/>
            </w:tcBorders>
          </w:tcPr>
          <w:p w14:paraId="687468D6" w14:textId="77777777" w:rsidR="0033183A" w:rsidRDefault="002E5E5D">
            <w:pPr>
              <w:widowControl/>
              <w:numPr>
                <w:ilvl w:val="0"/>
                <w:numId w:val="3"/>
              </w:numPr>
              <w:pBdr>
                <w:top w:val="nil"/>
                <w:left w:val="nil"/>
                <w:bottom w:val="nil"/>
                <w:right w:val="nil"/>
                <w:between w:val="nil"/>
              </w:pBdr>
              <w:spacing w:after="45" w:line="259" w:lineRule="auto"/>
              <w:rPr>
                <w:rFonts w:ascii="標楷體" w:eastAsia="標楷體" w:hAnsi="標楷體" w:cs="標楷體"/>
                <w:color w:val="000000"/>
              </w:rPr>
            </w:pPr>
            <w:r>
              <w:rPr>
                <w:rFonts w:ascii="標楷體" w:eastAsia="標楷體" w:hAnsi="標楷體" w:cs="標楷體"/>
                <w:color w:val="000000"/>
              </w:rPr>
              <w:t>5年保固服務</w:t>
            </w:r>
          </w:p>
        </w:tc>
        <w:tc>
          <w:tcPr>
            <w:tcW w:w="720" w:type="dxa"/>
            <w:tcBorders>
              <w:top w:val="single" w:sz="6" w:space="0" w:color="000000"/>
              <w:left w:val="single" w:sz="12" w:space="0" w:color="000000"/>
              <w:bottom w:val="single" w:sz="4" w:space="0" w:color="000000"/>
              <w:right w:val="single" w:sz="12" w:space="0" w:color="000000"/>
            </w:tcBorders>
          </w:tcPr>
          <w:p w14:paraId="54E6D67F" w14:textId="77777777" w:rsidR="0033183A" w:rsidRDefault="002E5E5D">
            <w:pPr>
              <w:spacing w:after="40"/>
              <w:ind w:left="239"/>
              <w:rPr>
                <w:rFonts w:ascii="標楷體" w:eastAsia="標楷體" w:hAnsi="標楷體" w:cs="標楷體"/>
              </w:rPr>
            </w:pPr>
            <w:r>
              <w:rPr>
                <w:rFonts w:ascii="標楷體" w:eastAsia="標楷體" w:hAnsi="標楷體" w:cs="標楷體"/>
              </w:rPr>
              <w:t>式</w:t>
            </w:r>
          </w:p>
        </w:tc>
        <w:tc>
          <w:tcPr>
            <w:tcW w:w="750" w:type="dxa"/>
            <w:tcBorders>
              <w:top w:val="single" w:sz="6" w:space="0" w:color="000000"/>
              <w:left w:val="single" w:sz="12" w:space="0" w:color="000000"/>
              <w:bottom w:val="single" w:sz="4" w:space="0" w:color="000000"/>
              <w:right w:val="single" w:sz="12" w:space="0" w:color="000000"/>
            </w:tcBorders>
          </w:tcPr>
          <w:p w14:paraId="36BFB089" w14:textId="77777777" w:rsidR="0033183A" w:rsidRDefault="002E5E5D">
            <w:pPr>
              <w:spacing w:after="60"/>
              <w:ind w:left="61"/>
              <w:jc w:val="center"/>
              <w:rPr>
                <w:rFonts w:ascii="標楷體" w:eastAsia="標楷體" w:hAnsi="標楷體" w:cs="標楷體"/>
              </w:rPr>
            </w:pPr>
            <w:r>
              <w:rPr>
                <w:rFonts w:ascii="標楷體" w:eastAsia="標楷體" w:hAnsi="標楷體" w:cs="標楷體"/>
              </w:rPr>
              <w:t>1</w:t>
            </w:r>
          </w:p>
        </w:tc>
      </w:tr>
      <w:tr w:rsidR="0033183A" w14:paraId="76163D86" w14:textId="77777777">
        <w:trPr>
          <w:trHeight w:val="701"/>
        </w:trPr>
        <w:tc>
          <w:tcPr>
            <w:tcW w:w="750" w:type="dxa"/>
            <w:tcBorders>
              <w:top w:val="single" w:sz="12" w:space="0" w:color="000000"/>
              <w:left w:val="single" w:sz="12" w:space="0" w:color="000000"/>
              <w:bottom w:val="single" w:sz="12" w:space="0" w:color="000000"/>
              <w:right w:val="single" w:sz="12" w:space="0" w:color="000000"/>
            </w:tcBorders>
          </w:tcPr>
          <w:p w14:paraId="3BB42400" w14:textId="77777777" w:rsidR="0033183A" w:rsidRDefault="002E5E5D">
            <w:pPr>
              <w:ind w:left="134" w:right="13"/>
              <w:jc w:val="center"/>
              <w:rPr>
                <w:rFonts w:ascii="標楷體" w:eastAsia="標楷體" w:hAnsi="標楷體" w:cs="標楷體"/>
              </w:rPr>
            </w:pPr>
            <w:r>
              <w:rPr>
                <w:rFonts w:ascii="標楷體" w:eastAsia="標楷體" w:hAnsi="標楷體" w:cs="標楷體"/>
              </w:rPr>
              <w:t xml:space="preserve">備註 </w:t>
            </w:r>
          </w:p>
        </w:tc>
        <w:tc>
          <w:tcPr>
            <w:tcW w:w="8670" w:type="dxa"/>
            <w:gridSpan w:val="4"/>
            <w:tcBorders>
              <w:top w:val="single" w:sz="12" w:space="0" w:color="000000"/>
              <w:left w:val="single" w:sz="12" w:space="0" w:color="000000"/>
              <w:bottom w:val="single" w:sz="12" w:space="0" w:color="000000"/>
              <w:right w:val="single" w:sz="12" w:space="0" w:color="000000"/>
            </w:tcBorders>
            <w:vAlign w:val="center"/>
          </w:tcPr>
          <w:p w14:paraId="08D5E873" w14:textId="77777777" w:rsidR="0033183A" w:rsidRDefault="002E5E5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rPr>
              <w:t>一、</w:t>
            </w:r>
            <w:r>
              <w:rPr>
                <w:rFonts w:ascii="標楷體" w:eastAsia="標楷體" w:hAnsi="標楷體" w:cs="標楷體"/>
                <w:color w:val="000000"/>
              </w:rPr>
              <w:t xml:space="preserve">保固及維修： </w:t>
            </w:r>
          </w:p>
          <w:p w14:paraId="11432C18" w14:textId="77777777" w:rsidR="0033183A" w:rsidRDefault="002E5E5D">
            <w:pPr>
              <w:numPr>
                <w:ilvl w:val="1"/>
                <w:numId w:val="1"/>
              </w:numPr>
              <w:pBdr>
                <w:top w:val="nil"/>
                <w:left w:val="nil"/>
                <w:bottom w:val="nil"/>
                <w:right w:val="nil"/>
                <w:between w:val="nil"/>
              </w:pBdr>
              <w:ind w:left="992" w:hanging="425"/>
              <w:rPr>
                <w:rFonts w:ascii="標楷體" w:eastAsia="標楷體" w:hAnsi="標楷體" w:cs="標楷體"/>
                <w:color w:val="000000"/>
              </w:rPr>
            </w:pPr>
            <w:r>
              <w:rPr>
                <w:rFonts w:ascii="標楷體" w:eastAsia="標楷體" w:hAnsi="標楷體" w:cs="標楷體"/>
              </w:rPr>
              <w:t>得標廠商須於全案驗收合格日之次日起提供全案5年之設備免費保固與維護。得標廠商應於交貨時提供</w:t>
            </w:r>
            <w:proofErr w:type="gramStart"/>
            <w:r>
              <w:rPr>
                <w:rFonts w:ascii="標楷體" w:eastAsia="標楷體" w:hAnsi="標楷體" w:cs="標楷體"/>
              </w:rPr>
              <w:t>保固切結</w:t>
            </w:r>
            <w:proofErr w:type="gramEnd"/>
            <w:r>
              <w:rPr>
                <w:rFonts w:ascii="標楷體" w:eastAsia="標楷體" w:hAnsi="標楷體" w:cs="標楷體"/>
              </w:rPr>
              <w:t>書</w:t>
            </w:r>
            <w:r>
              <w:rPr>
                <w:rFonts w:ascii="標楷體" w:eastAsia="標楷體" w:hAnsi="標楷體" w:cs="標楷體"/>
                <w:color w:val="000000"/>
              </w:rPr>
              <w:t>。</w:t>
            </w:r>
          </w:p>
          <w:p w14:paraId="58FF3D8E" w14:textId="77777777" w:rsidR="0033183A" w:rsidRDefault="002E5E5D">
            <w:pPr>
              <w:numPr>
                <w:ilvl w:val="1"/>
                <w:numId w:val="1"/>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在保固期間內，設備在正常使用下之發生任何故障狀況，得標</w:t>
            </w:r>
            <w:proofErr w:type="gramStart"/>
            <w:r>
              <w:rPr>
                <w:rFonts w:ascii="標楷體" w:eastAsia="標楷體" w:hAnsi="標楷體" w:cs="標楷體"/>
              </w:rPr>
              <w:t>廠商均應負責</w:t>
            </w:r>
            <w:proofErr w:type="gramEnd"/>
            <w:r>
              <w:rPr>
                <w:rFonts w:ascii="標楷體" w:eastAsia="標楷體" w:hAnsi="標楷體" w:cs="標楷體"/>
              </w:rPr>
              <w:t xml:space="preserve">維修或改善，並不得收取任何費用。 </w:t>
            </w:r>
          </w:p>
          <w:p w14:paraId="52E94A33" w14:textId="77777777" w:rsidR="0033183A" w:rsidRDefault="002E5E5D">
            <w:pPr>
              <w:numPr>
                <w:ilvl w:val="1"/>
                <w:numId w:val="1"/>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得標廠商於接獲本公司故障通知後，應在 3小時內到本公司檢視或維修，並於 24 小時內將故障排除(含假日與連假)</w:t>
            </w:r>
            <w:r>
              <w:rPr>
                <w:rFonts w:ascii="標楷體" w:eastAsia="標楷體" w:hAnsi="標楷體" w:cs="標楷體"/>
                <w:color w:val="000000"/>
              </w:rPr>
              <w:t xml:space="preserve">。 </w:t>
            </w:r>
          </w:p>
          <w:p w14:paraId="5AD069A8" w14:textId="77777777" w:rsidR="0033183A" w:rsidRDefault="002E5E5D">
            <w:pPr>
              <w:numPr>
                <w:ilvl w:val="1"/>
                <w:numId w:val="1"/>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若得標廠商無法在上述時限排除故障，得標廠商應提供功能相同且經本公司認可之機器替代使用，直至故障排除為止。</w:t>
            </w:r>
          </w:p>
          <w:p w14:paraId="087237CA" w14:textId="77777777" w:rsidR="0033183A" w:rsidRDefault="002E5E5D">
            <w:pPr>
              <w:numPr>
                <w:ilvl w:val="1"/>
                <w:numId w:val="1"/>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保固之除外條款：不包括人為疏失損壞及天災地變不可抗力等因素。</w:t>
            </w:r>
          </w:p>
          <w:p w14:paraId="20D2E71F" w14:textId="2A73C788" w:rsidR="0033183A" w:rsidRDefault="002E5E5D">
            <w:pPr>
              <w:numPr>
                <w:ilvl w:val="1"/>
                <w:numId w:val="1"/>
              </w:numPr>
              <w:pBdr>
                <w:top w:val="nil"/>
                <w:left w:val="nil"/>
                <w:bottom w:val="nil"/>
                <w:right w:val="nil"/>
                <w:between w:val="nil"/>
              </w:pBdr>
              <w:ind w:left="992" w:hanging="425"/>
              <w:rPr>
                <w:rFonts w:ascii="標楷體" w:eastAsia="標楷體" w:hAnsi="標楷體" w:cs="標楷體"/>
              </w:rPr>
            </w:pPr>
            <w:r>
              <w:rPr>
                <w:rFonts w:ascii="標楷體" w:eastAsia="標楷體" w:hAnsi="標楷體" w:cs="標楷體"/>
              </w:rPr>
              <w:t>得標廠商應保證自驗收合格日之次日起至少提供5年(含)之零件(或相同功能之可替代性零件)充足供應、不得提供5年內EOS產品</w:t>
            </w:r>
          </w:p>
          <w:p w14:paraId="36BA86C5" w14:textId="05EE7AAB" w:rsidR="00A97F10" w:rsidRDefault="00A97F10">
            <w:pPr>
              <w:numPr>
                <w:ilvl w:val="1"/>
                <w:numId w:val="1"/>
              </w:numPr>
              <w:pBdr>
                <w:top w:val="nil"/>
                <w:left w:val="nil"/>
                <w:bottom w:val="nil"/>
                <w:right w:val="nil"/>
                <w:between w:val="nil"/>
              </w:pBdr>
              <w:ind w:left="992" w:hanging="425"/>
              <w:rPr>
                <w:rFonts w:ascii="標楷體" w:eastAsia="標楷體" w:hAnsi="標楷體" w:cs="標楷體"/>
              </w:rPr>
            </w:pPr>
            <w:r w:rsidRPr="00A97F10">
              <w:rPr>
                <w:rFonts w:ascii="標楷體" w:eastAsia="標楷體" w:hAnsi="標楷體" w:cs="標楷體" w:hint="eastAsia"/>
              </w:rPr>
              <w:t>保固維護逾期違約以日為單位，得標廠商如未依照保固規定期限履約，應按逾期日數，每日依契約價金總額1%計算逾期違約金。</w:t>
            </w:r>
          </w:p>
          <w:p w14:paraId="55F96694" w14:textId="77777777" w:rsidR="0033183A" w:rsidRDefault="002E5E5D">
            <w:pPr>
              <w:pBdr>
                <w:top w:val="nil"/>
                <w:left w:val="nil"/>
                <w:bottom w:val="nil"/>
                <w:right w:val="nil"/>
                <w:between w:val="nil"/>
              </w:pBdr>
              <w:ind w:left="566" w:hanging="566"/>
              <w:rPr>
                <w:rFonts w:ascii="標楷體" w:eastAsia="標楷體" w:hAnsi="標楷體" w:cs="標楷體"/>
                <w:color w:val="000000"/>
              </w:rPr>
            </w:pPr>
            <w:r>
              <w:rPr>
                <w:rFonts w:ascii="標楷體" w:eastAsia="標楷體" w:hAnsi="標楷體" w:cs="標楷體"/>
              </w:rPr>
              <w:lastRenderedPageBreak/>
              <w:t>二、交貨時應檢附下列文件:台灣地區原廠出具之出廠證明、新品證明、保固證明，設備如係進口貨則應另附海關進口證明文件(進口報單)</w:t>
            </w:r>
            <w:r>
              <w:rPr>
                <w:rFonts w:ascii="標楷體" w:eastAsia="標楷體" w:hAnsi="標楷體" w:cs="標楷體"/>
                <w:color w:val="000000"/>
              </w:rPr>
              <w:t xml:space="preserve">。 </w:t>
            </w:r>
          </w:p>
          <w:p w14:paraId="5BE11F32" w14:textId="77777777" w:rsidR="0033183A" w:rsidRDefault="002E5E5D">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三、硬體5年免費保固與維護之</w:t>
            </w:r>
            <w:proofErr w:type="gramStart"/>
            <w:r>
              <w:rPr>
                <w:rFonts w:ascii="標楷體" w:eastAsia="標楷體" w:hAnsi="標楷體" w:cs="標楷體"/>
              </w:rPr>
              <w:t>保固切結</w:t>
            </w:r>
            <w:proofErr w:type="gramEnd"/>
            <w:r>
              <w:rPr>
                <w:rFonts w:ascii="標楷體" w:eastAsia="標楷體" w:hAnsi="標楷體" w:cs="標楷體"/>
              </w:rPr>
              <w:t xml:space="preserve">書。 </w:t>
            </w:r>
          </w:p>
          <w:p w14:paraId="66769C6D" w14:textId="77777777" w:rsidR="0033183A" w:rsidRDefault="002E5E5D">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 xml:space="preserve">四、提供本案系統設備之完整接線圖、系統整合圖、工作流程圖、各項設備整體運作測試報告及所有維護管理手冊。 </w:t>
            </w:r>
          </w:p>
          <w:p w14:paraId="6F5BE493" w14:textId="77777777" w:rsidR="0033183A" w:rsidRDefault="002E5E5D">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五、相關軟體之合法授權證明文件、原廠授權貼紙。</w:t>
            </w:r>
          </w:p>
          <w:p w14:paraId="335CD995" w14:textId="77777777" w:rsidR="0033183A" w:rsidRDefault="002E5E5D">
            <w:pPr>
              <w:pBdr>
                <w:top w:val="nil"/>
                <w:left w:val="nil"/>
                <w:bottom w:val="nil"/>
                <w:right w:val="nil"/>
                <w:between w:val="nil"/>
              </w:pBdr>
              <w:ind w:left="566" w:hanging="566"/>
              <w:rPr>
                <w:rFonts w:ascii="標楷體" w:eastAsia="標楷體" w:hAnsi="標楷體" w:cs="標楷體"/>
              </w:rPr>
            </w:pPr>
            <w:r>
              <w:rPr>
                <w:rFonts w:ascii="標楷體" w:eastAsia="標楷體" w:hAnsi="標楷體" w:cs="標楷體"/>
              </w:rPr>
              <w:t>六、教育訓練資料。</w:t>
            </w:r>
          </w:p>
          <w:p w14:paraId="5901944C" w14:textId="77777777" w:rsidR="0094156A" w:rsidRDefault="002E5E5D">
            <w:pPr>
              <w:pBdr>
                <w:top w:val="nil"/>
                <w:left w:val="nil"/>
                <w:bottom w:val="nil"/>
                <w:right w:val="nil"/>
                <w:between w:val="nil"/>
              </w:pBdr>
              <w:ind w:left="566" w:hanging="566"/>
              <w:rPr>
                <w:rFonts w:ascii="標楷體" w:eastAsia="標楷體" w:hAnsi="標楷體" w:cs="標楷體"/>
                <w:color w:val="000000"/>
              </w:rPr>
            </w:pPr>
            <w:r>
              <w:rPr>
                <w:rFonts w:ascii="標楷體" w:eastAsia="標楷體" w:hAnsi="標楷體" w:cs="標楷體"/>
              </w:rPr>
              <w:t>七、相關實體網路線材</w:t>
            </w:r>
            <w:proofErr w:type="gramStart"/>
            <w:r>
              <w:rPr>
                <w:rFonts w:ascii="標楷體" w:eastAsia="標楷體" w:hAnsi="標楷體" w:cs="標楷體"/>
              </w:rPr>
              <w:t>佈</w:t>
            </w:r>
            <w:proofErr w:type="gramEnd"/>
            <w:r>
              <w:rPr>
                <w:rFonts w:ascii="標楷體" w:eastAsia="標楷體" w:hAnsi="標楷體" w:cs="標楷體"/>
              </w:rPr>
              <w:t>線及設備安裝設定需按照客戶原需求施作</w:t>
            </w:r>
            <w:r>
              <w:rPr>
                <w:rFonts w:ascii="標楷體" w:eastAsia="標楷體" w:hAnsi="標楷體" w:cs="標楷體"/>
                <w:color w:val="000000"/>
              </w:rPr>
              <w:t>。</w:t>
            </w:r>
          </w:p>
          <w:p w14:paraId="0C13FE7A" w14:textId="2AD451B7" w:rsidR="0033183A" w:rsidRDefault="0094156A">
            <w:pPr>
              <w:pBdr>
                <w:top w:val="nil"/>
                <w:left w:val="nil"/>
                <w:bottom w:val="nil"/>
                <w:right w:val="nil"/>
                <w:between w:val="nil"/>
              </w:pBdr>
              <w:ind w:left="566" w:hanging="566"/>
              <w:rPr>
                <w:rFonts w:ascii="標楷體" w:eastAsia="標楷體" w:hAnsi="標楷體" w:cs="標楷體"/>
                <w:color w:val="000000"/>
              </w:rPr>
            </w:pPr>
            <w:r>
              <w:rPr>
                <w:rFonts w:ascii="標楷體" w:eastAsia="標楷體" w:hAnsi="標楷體" w:cs="標楷體" w:hint="eastAsia"/>
                <w:color w:val="FF0000"/>
              </w:rPr>
              <w:t>八、</w:t>
            </w:r>
            <w:r>
              <w:rPr>
                <w:rFonts w:ascii="標楷體" w:eastAsia="標楷體" w:hAnsi="標楷體" w:cs="標楷體"/>
                <w:color w:val="FF0000"/>
              </w:rPr>
              <w:t>將本案所有購置的軟硬體設備同時運作，持續7天每天24小時正常運作提供服務，以驗證全系統的穩定性。倘該期間發生任何軟硬體故障、當機、重新開機、資料流失/損毀及網路中斷等問題，則須調校後重新進行評估。</w:t>
            </w:r>
            <w:r w:rsidR="002E5E5D">
              <w:rPr>
                <w:rFonts w:ascii="標楷體" w:eastAsia="標楷體" w:hAnsi="標楷體" w:cs="標楷體"/>
                <w:color w:val="000000"/>
              </w:rPr>
              <w:t xml:space="preserve"> </w:t>
            </w:r>
          </w:p>
        </w:tc>
      </w:tr>
    </w:tbl>
    <w:p w14:paraId="4E432827" w14:textId="77777777" w:rsidR="0033183A" w:rsidRDefault="0033183A">
      <w:pPr>
        <w:spacing w:after="60"/>
        <w:ind w:right="2014"/>
        <w:rPr>
          <w:rFonts w:ascii="標楷體" w:eastAsia="標楷體" w:hAnsi="標楷體" w:cs="標楷體"/>
        </w:rPr>
      </w:pPr>
    </w:p>
    <w:p w14:paraId="01683E5B" w14:textId="77777777" w:rsidR="0033183A" w:rsidRDefault="002E5E5D">
      <w:pPr>
        <w:ind w:right="2014"/>
        <w:rPr>
          <w:rFonts w:ascii="標楷體" w:eastAsia="標楷體" w:hAnsi="標楷體" w:cs="標楷體"/>
        </w:rPr>
      </w:pPr>
      <w:r>
        <w:rPr>
          <w:rFonts w:ascii="標楷體" w:eastAsia="標楷體" w:hAnsi="標楷體" w:cs="標楷體"/>
        </w:rPr>
        <w:t xml:space="preserve">投標廠商用印處  </w:t>
      </w:r>
    </w:p>
    <w:p w14:paraId="172CE8E6" w14:textId="77777777" w:rsidR="0033183A" w:rsidRDefault="002E5E5D">
      <w:pPr>
        <w:spacing w:line="400" w:lineRule="auto"/>
        <w:rPr>
          <w:rFonts w:ascii="標楷體" w:eastAsia="標楷體" w:hAnsi="標楷體" w:cs="標楷體"/>
        </w:rPr>
      </w:pPr>
      <w:r>
        <w:rPr>
          <w:rFonts w:ascii="標楷體" w:eastAsia="標楷體" w:hAnsi="標楷體" w:cs="標楷體"/>
        </w:rPr>
        <w:t>廠    商(蓋公司章)：</w:t>
      </w:r>
    </w:p>
    <w:p w14:paraId="30EF901B" w14:textId="77777777" w:rsidR="0033183A" w:rsidRDefault="0033183A">
      <w:pPr>
        <w:spacing w:line="400" w:lineRule="auto"/>
        <w:rPr>
          <w:rFonts w:ascii="標楷體" w:eastAsia="標楷體" w:hAnsi="標楷體" w:cs="標楷體"/>
        </w:rPr>
      </w:pPr>
    </w:p>
    <w:p w14:paraId="717824E6" w14:textId="77777777" w:rsidR="0033183A" w:rsidRDefault="002E5E5D">
      <w:pPr>
        <w:ind w:right="2014"/>
        <w:rPr>
          <w:rFonts w:ascii="標楷體" w:eastAsia="標楷體" w:hAnsi="標楷體" w:cs="標楷體"/>
        </w:rPr>
      </w:pPr>
      <w:r>
        <w:rPr>
          <w:rFonts w:ascii="標楷體" w:eastAsia="標楷體" w:hAnsi="標楷體" w:cs="標楷體"/>
        </w:rPr>
        <w:t>負 責 人(加蓋印章)：</w:t>
      </w:r>
    </w:p>
    <w:p w14:paraId="292C7FE2" w14:textId="77777777" w:rsidR="0033183A" w:rsidRDefault="002E5E5D">
      <w:pPr>
        <w:ind w:left="1487"/>
        <w:rPr>
          <w:rFonts w:ascii="標楷體" w:eastAsia="標楷體" w:hAnsi="標楷體" w:cs="標楷體"/>
        </w:rPr>
      </w:pPr>
      <w:r>
        <w:rPr>
          <w:rFonts w:ascii="標楷體" w:eastAsia="標楷體" w:hAnsi="標楷體" w:cs="標楷體"/>
        </w:rPr>
        <w:t xml:space="preserve">                                    年    月    日  </w:t>
      </w:r>
    </w:p>
    <w:p w14:paraId="2B32C7C3" w14:textId="77777777" w:rsidR="0033183A" w:rsidRDefault="0033183A">
      <w:pPr>
        <w:widowControl/>
        <w:jc w:val="center"/>
        <w:rPr>
          <w:rFonts w:ascii="標楷體" w:eastAsia="標楷體" w:hAnsi="標楷體" w:cs="標楷體"/>
          <w:b/>
        </w:rPr>
      </w:pPr>
    </w:p>
    <w:sectPr w:rsidR="0033183A">
      <w:footerReference w:type="default" r:id="rId8"/>
      <w:footerReference w:type="first" r:id="rId9"/>
      <w:pgSz w:w="11906" w:h="16838"/>
      <w:pgMar w:top="1440" w:right="1800" w:bottom="1440" w:left="180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0445" w14:textId="77777777" w:rsidR="005542BE" w:rsidRDefault="005542BE">
      <w:r>
        <w:separator/>
      </w:r>
    </w:p>
  </w:endnote>
  <w:endnote w:type="continuationSeparator" w:id="0">
    <w:p w14:paraId="79092E17" w14:textId="77777777" w:rsidR="005542BE" w:rsidRDefault="005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8CF7" w14:textId="56C46B77" w:rsidR="0033183A" w:rsidRDefault="002E5E5D">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5B6FC4">
      <w:rPr>
        <w:noProof/>
        <w:color w:val="000000"/>
        <w:sz w:val="20"/>
        <w:szCs w:val="20"/>
      </w:rPr>
      <w:t>2</w:t>
    </w:r>
    <w:r>
      <w:rPr>
        <w:color w:val="000000"/>
        <w:sz w:val="20"/>
        <w:szCs w:val="20"/>
      </w:rPr>
      <w:fldChar w:fldCharType="end"/>
    </w:r>
  </w:p>
  <w:p w14:paraId="5F80CEB3" w14:textId="77777777" w:rsidR="0033183A" w:rsidRDefault="0033183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AFAD" w14:textId="470B6C0D" w:rsidR="0033183A" w:rsidRDefault="002E5E5D">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P</w:t>
    </w:r>
    <w:r>
      <w:rPr>
        <w:color w:val="000000"/>
        <w:sz w:val="20"/>
        <w:szCs w:val="20"/>
      </w:rPr>
      <w:fldChar w:fldCharType="begin"/>
    </w:r>
    <w:r>
      <w:rPr>
        <w:color w:val="000000"/>
        <w:sz w:val="20"/>
        <w:szCs w:val="20"/>
      </w:rPr>
      <w:instrText>PAGE</w:instrText>
    </w:r>
    <w:r>
      <w:rPr>
        <w:color w:val="000000"/>
        <w:sz w:val="20"/>
        <w:szCs w:val="20"/>
      </w:rPr>
      <w:fldChar w:fldCharType="separate"/>
    </w:r>
    <w:r w:rsidR="005B6FC4">
      <w:rPr>
        <w:noProof/>
        <w:color w:val="000000"/>
        <w:sz w:val="20"/>
        <w:szCs w:val="20"/>
      </w:rPr>
      <w:t>1</w:t>
    </w:r>
    <w:r>
      <w:rPr>
        <w:color w:val="000000"/>
        <w:sz w:val="20"/>
        <w:szCs w:val="20"/>
      </w:rPr>
      <w:fldChar w:fldCharType="end"/>
    </w:r>
  </w:p>
  <w:p w14:paraId="321144B5" w14:textId="77777777" w:rsidR="0033183A" w:rsidRDefault="0033183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70B5" w14:textId="77777777" w:rsidR="005542BE" w:rsidRDefault="005542BE">
      <w:r>
        <w:separator/>
      </w:r>
    </w:p>
  </w:footnote>
  <w:footnote w:type="continuationSeparator" w:id="0">
    <w:p w14:paraId="05C5828D" w14:textId="77777777" w:rsidR="005542BE" w:rsidRDefault="0055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71E2"/>
    <w:multiLevelType w:val="multilevel"/>
    <w:tmpl w:val="92429C10"/>
    <w:lvl w:ilvl="0">
      <w:start w:val="1"/>
      <w:numFmt w:val="decimal"/>
      <w:pStyle w:val="a"/>
      <w:lvlText w:val="%1."/>
      <w:lvlJc w:val="left"/>
      <w:pPr>
        <w:ind w:left="480" w:hanging="480"/>
      </w:pPr>
    </w:lvl>
    <w:lvl w:ilvl="1">
      <w:start w:val="1"/>
      <w:numFmt w:val="decimal"/>
      <w:pStyle w:val="a0"/>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FC5A32"/>
    <w:multiLevelType w:val="multilevel"/>
    <w:tmpl w:val="1476637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40A94AA7"/>
    <w:multiLevelType w:val="multilevel"/>
    <w:tmpl w:val="35DCC7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7E2753A"/>
    <w:multiLevelType w:val="multilevel"/>
    <w:tmpl w:val="E9D41E30"/>
    <w:lvl w:ilvl="0">
      <w:start w:val="1"/>
      <w:numFmt w:val="decimal"/>
      <w:lvlText w:val="%1、"/>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907" w:hanging="340"/>
      </w:pPr>
      <w:rPr>
        <w:b w:val="0"/>
        <w:i w:val="0"/>
        <w:sz w:val="28"/>
        <w:szCs w:val="28"/>
      </w:rPr>
    </w:lvl>
    <w:lvl w:ilvl="2">
      <w:start w:val="1"/>
      <w:numFmt w:val="decimal"/>
      <w:lvlText w:val="%2-%3、"/>
      <w:lvlJc w:val="left"/>
      <w:pPr>
        <w:ind w:left="1418" w:hanging="454"/>
      </w:pPr>
    </w:lvl>
    <w:lvl w:ilvl="3">
      <w:start w:val="1"/>
      <w:numFmt w:val="decimal"/>
      <w:lvlText w:val="%2-%3-%4、"/>
      <w:lvlJc w:val="left"/>
      <w:pPr>
        <w:ind w:left="1928" w:hanging="510"/>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3A"/>
    <w:rsid w:val="00193075"/>
    <w:rsid w:val="002E5E5D"/>
    <w:rsid w:val="0033183A"/>
    <w:rsid w:val="005542BE"/>
    <w:rsid w:val="005B6FC4"/>
    <w:rsid w:val="008B6BD4"/>
    <w:rsid w:val="0094156A"/>
    <w:rsid w:val="00A97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A5A6"/>
  <w15:docId w15:val="{A9B5F753-494C-440D-9FAA-A2BD8AA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7BA7"/>
    <w:rPr>
      <w:kern w:val="2"/>
      <w:szCs w:val="22"/>
    </w:rPr>
  </w:style>
  <w:style w:type="paragraph" w:styleId="1">
    <w:name w:val="heading 1"/>
    <w:basedOn w:val="a1"/>
    <w:next w:val="a1"/>
    <w:link w:val="10"/>
    <w:uiPriority w:val="9"/>
    <w:qFormat/>
    <w:rsid w:val="00C6793B"/>
    <w:pPr>
      <w:keepNext/>
      <w:spacing w:before="180" w:after="180" w:line="720" w:lineRule="auto"/>
      <w:outlineLvl w:val="0"/>
    </w:pPr>
    <w:rPr>
      <w:rFonts w:ascii="Calibri Light" w:hAnsi="Calibri Light"/>
      <w:b/>
      <w:bCs/>
      <w:kern w:val="52"/>
      <w:sz w:val="52"/>
      <w:szCs w:val="52"/>
    </w:rPr>
  </w:style>
  <w:style w:type="paragraph" w:styleId="2">
    <w:name w:val="heading 2"/>
    <w:basedOn w:val="a1"/>
    <w:next w:val="a1"/>
    <w:link w:val="20"/>
    <w:uiPriority w:val="9"/>
    <w:semiHidden/>
    <w:unhideWhenUsed/>
    <w:qFormat/>
    <w:rsid w:val="008972CC"/>
    <w:pPr>
      <w:keepNext/>
      <w:spacing w:line="720" w:lineRule="auto"/>
      <w:outlineLvl w:val="1"/>
    </w:pPr>
    <w:rPr>
      <w:rFonts w:ascii="Calibri Light" w:hAnsi="Calibri Light"/>
      <w:b/>
      <w:bCs/>
      <w:sz w:val="48"/>
      <w:szCs w:val="48"/>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szCs w:val="24"/>
    </w:rPr>
  </w:style>
  <w:style w:type="paragraph" w:styleId="5">
    <w:name w:val="heading 5"/>
    <w:basedOn w:val="a1"/>
    <w:next w:val="a1"/>
    <w:uiPriority w:val="9"/>
    <w:semiHidden/>
    <w:unhideWhenUsed/>
    <w:qFormat/>
    <w:pPr>
      <w:keepNext/>
      <w:keepLines/>
      <w:spacing w:before="220" w:after="40"/>
      <w:outlineLvl w:val="4"/>
    </w:pPr>
    <w:rPr>
      <w:b/>
      <w:sz w:val="22"/>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標題 1 字元"/>
    <w:link w:val="1"/>
    <w:uiPriority w:val="99"/>
    <w:locked/>
    <w:rsid w:val="00C6793B"/>
    <w:rPr>
      <w:rFonts w:ascii="Calibri Light" w:eastAsia="新細明體" w:hAnsi="Calibri Light" w:cs="Times New Roman"/>
      <w:b/>
      <w:bCs/>
      <w:kern w:val="52"/>
      <w:sz w:val="52"/>
      <w:szCs w:val="52"/>
    </w:rPr>
  </w:style>
  <w:style w:type="character" w:customStyle="1" w:styleId="20">
    <w:name w:val="標題 2 字元"/>
    <w:link w:val="2"/>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autoSpaceDE w:val="0"/>
      <w:autoSpaceDN w:val="0"/>
      <w:adjustRightInd w:val="0"/>
    </w:pPr>
    <w:rPr>
      <w:rFonts w:ascii="標楷體" w:eastAsia="標楷體" w:cs="標楷體"/>
      <w:color w:val="000000"/>
    </w:rPr>
  </w:style>
  <w:style w:type="paragraph" w:styleId="a6">
    <w:name w:val="header"/>
    <w:basedOn w:val="a1"/>
    <w:link w:val="a7"/>
    <w:uiPriority w:val="99"/>
    <w:rsid w:val="00C93617"/>
    <w:pPr>
      <w:tabs>
        <w:tab w:val="center" w:pos="4153"/>
        <w:tab w:val="right" w:pos="8306"/>
      </w:tabs>
      <w:snapToGrid w:val="0"/>
    </w:pPr>
    <w:rPr>
      <w:sz w:val="20"/>
      <w:szCs w:val="20"/>
    </w:rPr>
  </w:style>
  <w:style w:type="character" w:customStyle="1" w:styleId="a7">
    <w:name w:val="頁首 字元"/>
    <w:link w:val="a6"/>
    <w:uiPriority w:val="99"/>
    <w:locked/>
    <w:rsid w:val="00C93617"/>
    <w:rPr>
      <w:rFonts w:cs="Times New Roman"/>
      <w:sz w:val="20"/>
      <w:szCs w:val="20"/>
    </w:rPr>
  </w:style>
  <w:style w:type="paragraph" w:styleId="a8">
    <w:name w:val="footer"/>
    <w:basedOn w:val="a1"/>
    <w:link w:val="a9"/>
    <w:uiPriority w:val="99"/>
    <w:rsid w:val="00C93617"/>
    <w:pPr>
      <w:tabs>
        <w:tab w:val="center" w:pos="4153"/>
        <w:tab w:val="right" w:pos="8306"/>
      </w:tabs>
      <w:snapToGrid w:val="0"/>
    </w:pPr>
    <w:rPr>
      <w:sz w:val="20"/>
      <w:szCs w:val="20"/>
    </w:rPr>
  </w:style>
  <w:style w:type="character" w:customStyle="1" w:styleId="a9">
    <w:name w:val="頁尾 字元"/>
    <w:link w:val="a8"/>
    <w:uiPriority w:val="99"/>
    <w:locked/>
    <w:rsid w:val="00C93617"/>
    <w:rPr>
      <w:rFonts w:cs="Times New Roman"/>
      <w:sz w:val="20"/>
      <w:szCs w:val="20"/>
    </w:rPr>
  </w:style>
  <w:style w:type="paragraph" w:styleId="aa">
    <w:name w:val="List Paragraph"/>
    <w:basedOn w:val="a1"/>
    <w:uiPriority w:val="99"/>
    <w:qFormat/>
    <w:rsid w:val="000269DC"/>
    <w:pPr>
      <w:ind w:leftChars="200" w:left="480"/>
    </w:pPr>
  </w:style>
  <w:style w:type="paragraph" w:styleId="ab">
    <w:name w:val="Normal Indent"/>
    <w:basedOn w:val="a1"/>
    <w:uiPriority w:val="99"/>
    <w:semiHidden/>
    <w:rsid w:val="00C416EA"/>
    <w:pPr>
      <w:ind w:left="1800" w:hanging="541"/>
    </w:pPr>
    <w:rPr>
      <w:rFonts w:ascii="Times New Roman" w:hAnsi="Times New Roman"/>
      <w:szCs w:val="20"/>
    </w:rPr>
  </w:style>
  <w:style w:type="paragraph" w:styleId="ac">
    <w:name w:val="No Spacing"/>
    <w:uiPriority w:val="99"/>
    <w:qFormat/>
    <w:rsid w:val="00755F7D"/>
    <w:rPr>
      <w:kern w:val="2"/>
      <w:szCs w:val="22"/>
    </w:rPr>
  </w:style>
  <w:style w:type="paragraph" w:customStyle="1" w:styleId="a">
    <w:name w:val="項目標題"/>
    <w:basedOn w:val="a1"/>
    <w:next w:val="a0"/>
    <w:link w:val="ad"/>
    <w:autoRedefine/>
    <w:uiPriority w:val="99"/>
    <w:rsid w:val="00D47E4F"/>
    <w:pPr>
      <w:numPr>
        <w:numId w:val="3"/>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basedOn w:val="a1"/>
    <w:link w:val="ae"/>
    <w:autoRedefine/>
    <w:uiPriority w:val="99"/>
    <w:rsid w:val="00B033D5"/>
    <w:pPr>
      <w:numPr>
        <w:ilvl w:val="1"/>
        <w:numId w:val="3"/>
      </w:numPr>
      <w:spacing w:line="240" w:lineRule="atLeast"/>
      <w:outlineLvl w:val="1"/>
    </w:pPr>
    <w:rPr>
      <w:rFonts w:ascii="Times New Roman" w:eastAsia="標楷體" w:hAnsi="Times New Roman"/>
      <w:kern w:val="0"/>
      <w:sz w:val="28"/>
    </w:rPr>
  </w:style>
  <w:style w:type="character" w:customStyle="1" w:styleId="ad">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e">
    <w:name w:val="項目 字元"/>
    <w:link w:val="a0"/>
    <w:uiPriority w:val="99"/>
    <w:locked/>
    <w:rsid w:val="00B033D5"/>
    <w:rPr>
      <w:rFonts w:eastAsia="標楷體" w:cs="Times New Roman"/>
      <w:sz w:val="22"/>
      <w:szCs w:val="22"/>
      <w:lang w:val="en-US" w:eastAsia="zh-TW" w:bidi="ar-SA"/>
    </w:rPr>
  </w:style>
  <w:style w:type="paragraph" w:styleId="af">
    <w:name w:val="Balloon Text"/>
    <w:basedOn w:val="a1"/>
    <w:link w:val="af0"/>
    <w:uiPriority w:val="99"/>
    <w:semiHidden/>
    <w:rsid w:val="004371B4"/>
    <w:rPr>
      <w:rFonts w:ascii="Calibri Light" w:hAnsi="Calibri Light"/>
      <w:sz w:val="18"/>
      <w:szCs w:val="18"/>
    </w:rPr>
  </w:style>
  <w:style w:type="character" w:customStyle="1" w:styleId="af0">
    <w:name w:val="註解方塊文字 字元"/>
    <w:link w:val="af"/>
    <w:uiPriority w:val="99"/>
    <w:semiHidden/>
    <w:locked/>
    <w:rsid w:val="004371B4"/>
    <w:rPr>
      <w:rFonts w:ascii="Calibri Light" w:eastAsia="新細明體" w:hAnsi="Calibri Light" w:cs="Times New Roman"/>
      <w:sz w:val="18"/>
      <w:szCs w:val="18"/>
    </w:rPr>
  </w:style>
  <w:style w:type="table" w:customStyle="1" w:styleId="TableGrid">
    <w:name w:val="TableGrid"/>
    <w:rsid w:val="00C054DA"/>
    <w:rPr>
      <w:kern w:val="2"/>
      <w:szCs w:val="22"/>
    </w:rPr>
    <w:tblPr>
      <w:tblCellMar>
        <w:top w:w="0" w:type="dxa"/>
        <w:left w:w="0" w:type="dxa"/>
        <w:bottom w:w="0" w:type="dxa"/>
        <w:right w:w="0" w:type="dxa"/>
      </w:tblCellMar>
    </w:tblPr>
  </w:style>
  <w:style w:type="paragraph" w:styleId="Web">
    <w:name w:val="Normal (Web)"/>
    <w:basedOn w:val="a1"/>
    <w:uiPriority w:val="99"/>
    <w:semiHidden/>
    <w:unhideWhenUsed/>
    <w:rsid w:val="00723CB1"/>
    <w:pPr>
      <w:widowControl/>
      <w:spacing w:before="100" w:beforeAutospacing="1" w:after="100" w:afterAutospacing="1"/>
    </w:pPr>
    <w:rPr>
      <w:rFonts w:ascii="新細明體" w:hAnsi="新細明體" w:cs="新細明體"/>
      <w:kern w:val="0"/>
      <w:szCs w:val="24"/>
    </w:rPr>
  </w:style>
  <w:style w:type="character" w:customStyle="1" w:styleId="qowt-font3-dfkaisb">
    <w:name w:val="qowt-font3-dfkaisb"/>
    <w:basedOn w:val="a2"/>
    <w:rsid w:val="00F252F6"/>
  </w:style>
  <w:style w:type="character" w:customStyle="1" w:styleId="qowt-font2">
    <w:name w:val="qowt-font2"/>
    <w:basedOn w:val="a2"/>
    <w:rsid w:val="00C714BB"/>
  </w:style>
  <w:style w:type="paragraph" w:styleId="af1">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2"/>
    <w:tblPr>
      <w:tblStyleRowBandSize w:val="1"/>
      <w:tblStyleColBandSize w:val="1"/>
      <w:tblCellMar>
        <w:top w:w="46" w:type="dxa"/>
        <w:right w:w="61" w:type="dxa"/>
      </w:tblCellMar>
    </w:tblPr>
  </w:style>
  <w:style w:type="table" w:customStyle="1" w:styleId="af3">
    <w:basedOn w:val="TableNormal2"/>
    <w:tblPr>
      <w:tblStyleRowBandSize w:val="1"/>
      <w:tblStyleColBandSize w:val="1"/>
      <w:tblCellMar>
        <w:top w:w="46" w:type="dxa"/>
        <w:right w:w="61" w:type="dxa"/>
      </w:tblCellMar>
    </w:tblPr>
  </w:style>
  <w:style w:type="table" w:customStyle="1" w:styleId="af4">
    <w:basedOn w:val="TableNormal1"/>
    <w:tblPr>
      <w:tblStyleRowBandSize w:val="1"/>
      <w:tblStyleColBandSize w:val="1"/>
      <w:tblCellMar>
        <w:top w:w="46" w:type="dxa"/>
        <w:right w:w="61" w:type="dxa"/>
      </w:tblCellMar>
    </w:tblPr>
  </w:style>
  <w:style w:type="table" w:customStyle="1" w:styleId="af5">
    <w:basedOn w:val="TableNormal0"/>
    <w:tblPr>
      <w:tblStyleRowBandSize w:val="1"/>
      <w:tblStyleColBandSize w:val="1"/>
      <w:tblCellMar>
        <w:top w:w="46" w:type="dxa"/>
        <w:right w:w="6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TvQgEWBFSHgShVfyJ8AVLoxbg==">CgMxLjA4AHIhMUU1T3VvTnQtQk45a0k4ZGF3Z1JCa3hVU0JOcF9LeUhp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638</Words>
  <Characters>3642</Characters>
  <Application>Microsoft Office Word</Application>
  <DocSecurity>0</DocSecurity>
  <Lines>30</Lines>
  <Paragraphs>8</Paragraphs>
  <ScaleCrop>false</ScaleCrop>
  <Company>CTS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Chi-Chen Lin</dc:creator>
  <cp:lastModifiedBy>陳光隆</cp:lastModifiedBy>
  <cp:revision>5</cp:revision>
  <dcterms:created xsi:type="dcterms:W3CDTF">2024-05-29T06:46:00Z</dcterms:created>
  <dcterms:modified xsi:type="dcterms:W3CDTF">2024-11-01T02:59:00Z</dcterms:modified>
</cp:coreProperties>
</file>