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8158" w14:textId="77777777" w:rsidR="00AA2EBB" w:rsidRDefault="00CA1C1B">
      <w:pPr>
        <w:spacing w:after="590"/>
        <w:jc w:val="center"/>
        <w:rPr>
          <w:rFonts w:ascii="標楷體" w:eastAsia="標楷體" w:hAnsi="標楷體" w:cs="標楷體"/>
          <w:b/>
          <w:sz w:val="56"/>
          <w:szCs w:val="56"/>
        </w:rPr>
      </w:pPr>
      <w:r>
        <w:rPr>
          <w:rFonts w:ascii="標楷體" w:eastAsia="標楷體" w:hAnsi="標楷體" w:cs="標楷體"/>
          <w:b/>
          <w:sz w:val="56"/>
          <w:szCs w:val="56"/>
        </w:rPr>
        <w:t>中華電視股份有限公司</w:t>
      </w:r>
    </w:p>
    <w:p w14:paraId="098EFE57" w14:textId="77777777" w:rsidR="00AA2EBB" w:rsidRDefault="00CA1C1B">
      <w:pPr>
        <w:spacing w:after="590"/>
        <w:jc w:val="center"/>
      </w:pPr>
      <w:r>
        <w:rPr>
          <w:rFonts w:ascii="標楷體" w:eastAsia="標楷體" w:hAnsi="標楷體" w:cs="標楷體"/>
          <w:b/>
          <w:sz w:val="56"/>
          <w:szCs w:val="56"/>
        </w:rPr>
        <w:t>「</w:t>
      </w:r>
      <w:proofErr w:type="gramStart"/>
      <w:r>
        <w:rPr>
          <w:rFonts w:ascii="標楷體" w:eastAsia="標楷體" w:hAnsi="標楷體" w:cs="標楷體"/>
          <w:b/>
          <w:sz w:val="56"/>
          <w:szCs w:val="56"/>
        </w:rPr>
        <w:t>114</w:t>
      </w:r>
      <w:proofErr w:type="gramEnd"/>
      <w:r>
        <w:rPr>
          <w:rFonts w:ascii="標楷體" w:eastAsia="標楷體" w:hAnsi="標楷體" w:cs="標楷體"/>
          <w:b/>
          <w:sz w:val="56"/>
          <w:szCs w:val="56"/>
        </w:rPr>
        <w:t>年度網路交換器更新」採購案</w:t>
      </w:r>
      <w:r>
        <w:br w:type="page"/>
      </w:r>
      <w:r>
        <w:rPr>
          <w:noProof/>
        </w:rPr>
        <mc:AlternateContent>
          <mc:Choice Requires="wps">
            <w:drawing>
              <wp:anchor distT="0" distB="0" distL="114300" distR="114300" simplePos="0" relativeHeight="251658240" behindDoc="0" locked="0" layoutInCell="1" hidden="0" allowOverlap="1" wp14:anchorId="5DE176DA" wp14:editId="2D997AB7">
                <wp:simplePos x="0" y="0"/>
                <wp:positionH relativeFrom="column">
                  <wp:posOffset>1041400</wp:posOffset>
                </wp:positionH>
                <wp:positionV relativeFrom="paragraph">
                  <wp:posOffset>1600200</wp:posOffset>
                </wp:positionV>
                <wp:extent cx="2880360" cy="1648460"/>
                <wp:effectExtent l="0" t="0" r="0" b="0"/>
                <wp:wrapSquare wrapText="bothSides" distT="0" distB="0" distL="114300" distR="114300"/>
                <wp:docPr id="1004082162" name="矩形 1004082162"/>
                <wp:cNvGraphicFramePr/>
                <a:graphic xmlns:a="http://schemas.openxmlformats.org/drawingml/2006/main">
                  <a:graphicData uri="http://schemas.microsoft.com/office/word/2010/wordprocessingShape">
                    <wps:wsp>
                      <wps:cNvSpPr/>
                      <wps:spPr>
                        <a:xfrm>
                          <a:off x="3915345" y="2965295"/>
                          <a:ext cx="2861310" cy="1629410"/>
                        </a:xfrm>
                        <a:prstGeom prst="rect">
                          <a:avLst/>
                        </a:prstGeom>
                        <a:noFill/>
                        <a:ln w="9525" cap="flat" cmpd="sng">
                          <a:solidFill>
                            <a:srgbClr val="FFFFFF"/>
                          </a:solidFill>
                          <a:prstDash val="solid"/>
                          <a:miter lim="800000"/>
                          <a:headEnd type="none" w="sm" len="sm"/>
                          <a:tailEnd type="none" w="sm" len="sm"/>
                        </a:ln>
                      </wps:spPr>
                      <wps:txbx>
                        <w:txbxContent>
                          <w:p w14:paraId="7F23FA75" w14:textId="77777777" w:rsidR="00AA2EBB" w:rsidRDefault="00CA1C1B">
                            <w:pPr>
                              <w:jc w:val="center"/>
                              <w:textDirection w:val="btLr"/>
                            </w:pPr>
                            <w:r>
                              <w:rPr>
                                <w:rFonts w:ascii="標楷體" w:eastAsia="標楷體" w:hAnsi="標楷體" w:cs="標楷體"/>
                                <w:color w:val="000000"/>
                                <w:sz w:val="80"/>
                              </w:rPr>
                              <w:t>招標規範</w:t>
                            </w:r>
                          </w:p>
                        </w:txbxContent>
                      </wps:txbx>
                      <wps:bodyPr spcFirstLastPara="1" wrap="square" lIns="91425" tIns="45700" rIns="91425" bIns="45700" anchor="ctr"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5DE176DA" id="矩形 1004082162" o:spid="_x0000_s1026" style="position:absolute;left:0;text-align:left;margin-left:82pt;margin-top:126pt;width:226.8pt;height:12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" filled="f" strokecolor="white">
                <v:stroke startarrowwidth="narrow" startarrowlength="short" endarrowwidth="narrow" endarrowlength="short"/>
                <v:textbox inset="2.53958mm,1.2694mm,2.53958mm,1.2694mm">
                  <w:txbxContent>
                    <w:p w14:paraId="7F23FA75" w14:textId="77777777" w:rsidR="00AA2EBB" w:rsidRDefault="00000000">
                      <w:pPr>
                        <w:jc w:val="center"/>
                        <w:textDirection w:val="btLr"/>
                      </w:pPr>
                      <w:r>
                        <w:rPr>
                          <w:rFonts w:ascii="標楷體" w:eastAsia="標楷體" w:hAnsi="標楷體" w:cs="標楷體"/>
                          <w:color w:val="000000"/>
                          <w:sz w:val="80"/>
                        </w:rPr>
                        <w:t>招標規範</w:t>
                      </w: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74057912" wp14:editId="1102A965">
                <wp:simplePos x="0" y="0"/>
                <wp:positionH relativeFrom="column">
                  <wp:posOffset>1308100</wp:posOffset>
                </wp:positionH>
                <wp:positionV relativeFrom="paragraph">
                  <wp:posOffset>6375400</wp:posOffset>
                </wp:positionV>
                <wp:extent cx="2459355" cy="617235"/>
                <wp:effectExtent l="0" t="0" r="0" b="0"/>
                <wp:wrapNone/>
                <wp:docPr id="1004082161" name="矩形 1004082161"/>
                <wp:cNvGraphicFramePr/>
                <a:graphic xmlns:a="http://schemas.openxmlformats.org/drawingml/2006/main">
                  <a:graphicData uri="http://schemas.microsoft.com/office/word/2010/wordprocessingShape">
                    <wps:wsp>
                      <wps:cNvSpPr/>
                      <wps:spPr>
                        <a:xfrm>
                          <a:off x="4125848" y="3486630"/>
                          <a:ext cx="2440305" cy="5867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5B6A9B5" w14:textId="0097D8A6" w:rsidR="00AA2EBB" w:rsidRDefault="00CA1C1B">
                            <w:pPr>
                              <w:jc w:val="center"/>
                              <w:textDirection w:val="btLr"/>
                            </w:pPr>
                            <w:r>
                              <w:rPr>
                                <w:rFonts w:ascii="標楷體" w:eastAsia="標楷體" w:hAnsi="標楷體" w:cs="標楷體"/>
                                <w:color w:val="000000"/>
                                <w:sz w:val="36"/>
                              </w:rPr>
                              <w:t>中華民國114年</w:t>
                            </w:r>
                            <w:r w:rsidR="00BD0C72">
                              <w:rPr>
                                <w:rFonts w:ascii="標楷體" w:eastAsia="標楷體" w:hAnsi="標楷體" w:cs="標楷體" w:hint="eastAsia"/>
                                <w:color w:val="000000"/>
                                <w:sz w:val="36"/>
                              </w:rPr>
                              <w:t>9</w:t>
                            </w:r>
                            <w:r>
                              <w:rPr>
                                <w:rFonts w:ascii="標楷體" w:eastAsia="標楷體" w:hAnsi="標楷體" w:cs="標楷體"/>
                                <w:color w:val="000000"/>
                                <w:sz w:val="36"/>
                              </w:rPr>
                              <w:t>月</w:t>
                            </w:r>
                          </w:p>
                        </w:txbxContent>
                      </wps:txbx>
                      <wps:bodyPr spcFirstLastPara="1" wrap="square" lIns="91425" tIns="45700" rIns="91425" bIns="45700" anchor="ctr" anchorCtr="0">
                        <a:noAutofit/>
                      </wps:bodyPr>
                    </wps:wsp>
                  </a:graphicData>
                </a:graphic>
              </wp:anchor>
            </w:drawing>
          </mc:Choice>
          <mc:Fallback>
            <w:pict>
              <v:rect w14:anchorId="74057912" id="矩形 1004082161" o:spid="_x0000_s1027" style="position:absolute;left:0;text-align:left;margin-left:103pt;margin-top:502pt;width:193.65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" strokecolor="white">
                <v:stroke startarrowwidth="narrow" startarrowlength="short" endarrowwidth="narrow" endarrowlength="short"/>
                <v:textbox inset="2.53958mm,1.2694mm,2.53958mm,1.2694mm">
                  <w:txbxContent>
                    <w:p w14:paraId="65B6A9B5" w14:textId="0097D8A6" w:rsidR="00AA2EBB" w:rsidRDefault="00CA1C1B">
                      <w:pPr>
                        <w:jc w:val="center"/>
                        <w:textDirection w:val="btLr"/>
                      </w:pPr>
                      <w:r>
                        <w:rPr>
                          <w:rFonts w:ascii="標楷體" w:eastAsia="標楷體" w:hAnsi="標楷體" w:cs="標楷體"/>
                          <w:color w:val="000000"/>
                          <w:sz w:val="36"/>
                        </w:rPr>
                        <w:t>中華民國114年</w:t>
                      </w:r>
                      <w:r w:rsidR="00BD0C72">
                        <w:rPr>
                          <w:rFonts w:ascii="標楷體" w:eastAsia="標楷體" w:hAnsi="標楷體" w:cs="標楷體" w:hint="eastAsia"/>
                          <w:color w:val="000000"/>
                          <w:sz w:val="36"/>
                        </w:rPr>
                        <w:t>9</w:t>
                      </w:r>
                      <w:r>
                        <w:rPr>
                          <w:rFonts w:ascii="標楷體" w:eastAsia="標楷體" w:hAnsi="標楷體" w:cs="標楷體"/>
                          <w:color w:val="000000"/>
                          <w:sz w:val="36"/>
                        </w:rPr>
                        <w:t>月</w:t>
                      </w:r>
                    </w:p>
                  </w:txbxContent>
                </v:textbox>
              </v:rect>
            </w:pict>
          </mc:Fallback>
        </mc:AlternateContent>
      </w:r>
    </w:p>
    <w:p w14:paraId="4DBFFC43" w14:textId="77777777" w:rsidR="00AA2EBB" w:rsidRDefault="00CA1C1B">
      <w:pPr>
        <w:spacing w:after="106"/>
        <w:ind w:left="2604"/>
        <w:rPr>
          <w:rFonts w:ascii="Times New Roman" w:eastAsia="Times New Roman" w:hAnsi="Times New Roman" w:cs="Times New Roman"/>
          <w:b/>
          <w:sz w:val="32"/>
          <w:szCs w:val="32"/>
        </w:rPr>
      </w:pPr>
      <w:r>
        <w:rPr>
          <w:rFonts w:ascii="標楷體" w:eastAsia="標楷體" w:hAnsi="標楷體" w:cs="標楷體"/>
          <w:sz w:val="32"/>
          <w:szCs w:val="32"/>
          <w:u w:val="single"/>
        </w:rPr>
        <w:lastRenderedPageBreak/>
        <w:t>招</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標</w:t>
      </w:r>
      <w:r>
        <w:rPr>
          <w:rFonts w:ascii="Times New Roman" w:eastAsia="Times New Roman" w:hAnsi="Times New Roman" w:cs="Times New Roman"/>
          <w:b/>
          <w:sz w:val="32"/>
          <w:szCs w:val="32"/>
          <w:u w:val="single"/>
        </w:rPr>
        <w:t xml:space="preserve">      </w:t>
      </w:r>
      <w:proofErr w:type="gramStart"/>
      <w:r>
        <w:rPr>
          <w:rFonts w:ascii="標楷體" w:eastAsia="標楷體" w:hAnsi="標楷體" w:cs="標楷體"/>
          <w:sz w:val="32"/>
          <w:szCs w:val="32"/>
          <w:u w:val="single"/>
        </w:rPr>
        <w:t>規</w:t>
      </w:r>
      <w:proofErr w:type="gramEnd"/>
      <w:r>
        <w:rPr>
          <w:rFonts w:ascii="Times New Roman" w:eastAsia="Times New Roman" w:hAnsi="Times New Roman" w:cs="Times New Roman"/>
          <w:b/>
          <w:sz w:val="32"/>
          <w:szCs w:val="32"/>
          <w:u w:val="single"/>
        </w:rPr>
        <w:t xml:space="preserve">      </w:t>
      </w:r>
      <w:proofErr w:type="gramStart"/>
      <w:r>
        <w:rPr>
          <w:rFonts w:ascii="標楷體" w:eastAsia="標楷體" w:hAnsi="標楷體" w:cs="標楷體"/>
          <w:sz w:val="32"/>
          <w:szCs w:val="32"/>
          <w:u w:val="single"/>
        </w:rPr>
        <w:t>範</w:t>
      </w:r>
      <w:proofErr w:type="gramEnd"/>
      <w:r>
        <w:rPr>
          <w:rFonts w:ascii="Times New Roman" w:eastAsia="Times New Roman" w:hAnsi="Times New Roman" w:cs="Times New Roman"/>
          <w:b/>
          <w:sz w:val="32"/>
          <w:szCs w:val="32"/>
        </w:rPr>
        <w:t xml:space="preserve"> </w:t>
      </w:r>
    </w:p>
    <w:p w14:paraId="593D7A11"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000000"/>
        </w:rPr>
        <w:t>標的名稱：</w:t>
      </w:r>
      <w:r>
        <w:rPr>
          <w:rFonts w:ascii="標楷體" w:eastAsia="標楷體" w:hAnsi="標楷體" w:cs="標楷體"/>
          <w:color w:val="FF0000"/>
        </w:rPr>
        <w:t>「</w:t>
      </w:r>
      <w:proofErr w:type="gramStart"/>
      <w:r>
        <w:rPr>
          <w:rFonts w:ascii="標楷體" w:eastAsia="標楷體" w:hAnsi="標楷體" w:cs="標楷體"/>
          <w:color w:val="FF0000"/>
        </w:rPr>
        <w:t>114</w:t>
      </w:r>
      <w:proofErr w:type="gramEnd"/>
      <w:r>
        <w:rPr>
          <w:rFonts w:ascii="標楷體" w:eastAsia="標楷體" w:hAnsi="標楷體" w:cs="標楷體"/>
          <w:color w:val="FF0000"/>
        </w:rPr>
        <w:t>年度網路交換器更新」採購案</w:t>
      </w:r>
    </w:p>
    <w:p w14:paraId="2680D550"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000000"/>
        </w:rPr>
        <w:t>需求通則：</w:t>
      </w:r>
    </w:p>
    <w:p w14:paraId="3784308F"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FF0000"/>
        </w:rPr>
        <w:t>本公司現有核心交換器品牌為DELL，而各樓層之交換器各品牌皆有(如CISCO、Juniper、D-Link等)；因各品牌管理介面與指令不盡相同，管理複雜度較高；發生故障斷線時須與不同原廠尋求支援，增加故障排除困難與溝通成本；不同品牌間設備可能存在演算機制不同的相容性問題，為確保系統整合及相容性問題，本專案限定與DELL完全相容之產品。</w:t>
      </w:r>
    </w:p>
    <w:p w14:paraId="6547B743"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得標廠商(或稱立約商或廠商)負責本案之交貨、安裝、設定、驗證、測試及保固，並提供足夠安裝所需之機櫃零件，包含但不限於電源排插、電源轉接頭、層板、滑軌套件、螺絲及裝卸工具等相關配件以供本案使用。</w:t>
      </w:r>
    </w:p>
    <w:p w14:paraId="0B4E72F7"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得標廠商需執行本案顧問諮詢、及保固期間之維護作業。應指派</w:t>
      </w:r>
      <w:proofErr w:type="gramStart"/>
      <w:r>
        <w:rPr>
          <w:rFonts w:ascii="標楷體" w:eastAsia="標楷體" w:hAnsi="標楷體" w:cs="標楷體"/>
          <w:color w:val="000000"/>
        </w:rPr>
        <w:t>一</w:t>
      </w:r>
      <w:proofErr w:type="gramEnd"/>
      <w:r>
        <w:rPr>
          <w:rFonts w:ascii="標楷體" w:eastAsia="標楷體" w:hAnsi="標楷體" w:cs="標楷體"/>
          <w:color w:val="000000"/>
        </w:rPr>
        <w:t>人為單一窗口專案負責人(工程師)，與中華電視股份有限公司(以下簡稱本公司)之指定人員協同合作；自決標日起，至保固服務結束日止，與本公司相關人員配合，提供技術服務顧問與保固維修工作事宜。任何必須整合本公司與得標廠商資源之維運</w:t>
      </w:r>
      <w:proofErr w:type="gramStart"/>
      <w:r>
        <w:rPr>
          <w:rFonts w:ascii="標楷體" w:eastAsia="標楷體" w:hAnsi="標楷體" w:cs="標楷體"/>
          <w:color w:val="000000"/>
        </w:rPr>
        <w:t>工作均由得標</w:t>
      </w:r>
      <w:proofErr w:type="gramEnd"/>
      <w:r>
        <w:rPr>
          <w:rFonts w:ascii="標楷體" w:eastAsia="標楷體" w:hAnsi="標楷體" w:cs="標楷體"/>
          <w:color w:val="000000"/>
        </w:rPr>
        <w:t>廠商負責協調。</w:t>
      </w:r>
    </w:p>
    <w:p w14:paraId="5B9D173D"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有關本案採購設備之統籌規劃及施作</w:t>
      </w:r>
      <w:proofErr w:type="gramStart"/>
      <w:r>
        <w:rPr>
          <w:rFonts w:ascii="標楷體" w:eastAsia="標楷體" w:hAnsi="標楷體" w:cs="標楷體"/>
          <w:color w:val="000000"/>
        </w:rPr>
        <w:t>協調均由本</w:t>
      </w:r>
      <w:proofErr w:type="gramEnd"/>
      <w:r>
        <w:rPr>
          <w:rFonts w:ascii="標楷體" w:eastAsia="標楷體" w:hAnsi="標楷體" w:cs="標楷體"/>
          <w:color w:val="000000"/>
        </w:rPr>
        <w:t>案得標廠商完全負責。若得標廠商提供之設備經實測無法達到預期功能或驗收標準，需自行增補設備至可以順利達成為止，對此得標廠商不得要求增加契約金額。</w:t>
      </w:r>
    </w:p>
    <w:p w14:paraId="34917121"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所有提供之軟硬體設備(含安裝、測試)</w:t>
      </w:r>
      <w:proofErr w:type="gramStart"/>
      <w:r>
        <w:rPr>
          <w:rFonts w:ascii="標楷體" w:eastAsia="標楷體" w:hAnsi="標楷體" w:cs="標楷體"/>
          <w:color w:val="000000"/>
        </w:rPr>
        <w:t>均應包含</w:t>
      </w:r>
      <w:proofErr w:type="gramEnd"/>
      <w:r>
        <w:rPr>
          <w:rFonts w:ascii="標楷體" w:eastAsia="標楷體" w:hAnsi="標楷體" w:cs="標楷體"/>
          <w:color w:val="000000"/>
        </w:rPr>
        <w:t>在契約價款總額，不得於事後做任何增加契約金額的要求。</w:t>
      </w:r>
    </w:p>
    <w:p w14:paraId="4AADBD07"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FF0000"/>
        </w:rPr>
      </w:pPr>
      <w:r>
        <w:rPr>
          <w:rFonts w:ascii="標楷體" w:eastAsia="標楷體" w:hAnsi="標楷體" w:cs="標楷體"/>
          <w:color w:val="FF0000"/>
        </w:rPr>
        <w:t>本專案針對投標廠商及服務人員之資格除參照「資通安全責任及保密規範」規定外，服務人員並</w:t>
      </w:r>
      <w:r w:rsidRPr="00A12E45">
        <w:rPr>
          <w:rFonts w:ascii="標楷體" w:eastAsia="標楷體" w:hAnsi="標楷體" w:cs="標楷體"/>
          <w:color w:val="FF0000"/>
          <w:u w:val="single"/>
        </w:rPr>
        <w:t>須具備原廠證照</w:t>
      </w:r>
      <w:r>
        <w:rPr>
          <w:rFonts w:ascii="標楷體" w:eastAsia="標楷體" w:hAnsi="標楷體" w:cs="標楷體"/>
          <w:color w:val="FF0000"/>
        </w:rPr>
        <w:t>。</w:t>
      </w:r>
    </w:p>
    <w:p w14:paraId="06399EAC" w14:textId="77777777" w:rsidR="00AA2EBB" w:rsidRDefault="00CA1C1B">
      <w:pPr>
        <w:numPr>
          <w:ilvl w:val="1"/>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本專案資通系統防護需求分級如下</w:t>
      </w:r>
    </w:p>
    <w:tbl>
      <w:tblPr>
        <w:tblStyle w:val="af4"/>
        <w:tblW w:w="772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2576"/>
        <w:gridCol w:w="2577"/>
      </w:tblGrid>
      <w:tr w:rsidR="00AA2EBB" w14:paraId="73714AEC" w14:textId="77777777">
        <w:tc>
          <w:tcPr>
            <w:tcW w:w="2576" w:type="dxa"/>
            <w:vAlign w:val="center"/>
          </w:tcPr>
          <w:p w14:paraId="6B88D9E3" w14:textId="77777777" w:rsidR="00AA2EBB" w:rsidRDefault="00CA1C1B">
            <w:pPr>
              <w:spacing w:after="100"/>
              <w:jc w:val="center"/>
              <w:rPr>
                <w:rFonts w:ascii="標楷體" w:eastAsia="標楷體" w:hAnsi="標楷體" w:cs="標楷體"/>
              </w:rPr>
            </w:pPr>
            <w:r>
              <w:rPr>
                <w:rFonts w:ascii="標楷體" w:eastAsia="標楷體" w:hAnsi="標楷體" w:cs="標楷體"/>
              </w:rPr>
              <w:t>資通系統名稱</w:t>
            </w:r>
          </w:p>
        </w:tc>
        <w:tc>
          <w:tcPr>
            <w:tcW w:w="2576" w:type="dxa"/>
            <w:vAlign w:val="center"/>
          </w:tcPr>
          <w:p w14:paraId="7C1BDC83" w14:textId="77777777" w:rsidR="00AA2EBB" w:rsidRDefault="00CA1C1B">
            <w:pPr>
              <w:spacing w:after="100"/>
              <w:jc w:val="center"/>
              <w:rPr>
                <w:rFonts w:ascii="標楷體" w:eastAsia="標楷體" w:hAnsi="標楷體" w:cs="標楷體"/>
              </w:rPr>
            </w:pPr>
            <w:r>
              <w:rPr>
                <w:rFonts w:ascii="標楷體" w:eastAsia="標楷體" w:hAnsi="標楷體" w:cs="標楷體"/>
              </w:rPr>
              <w:t>採購項目</w:t>
            </w:r>
          </w:p>
        </w:tc>
        <w:tc>
          <w:tcPr>
            <w:tcW w:w="2577" w:type="dxa"/>
            <w:vAlign w:val="center"/>
          </w:tcPr>
          <w:p w14:paraId="53E781F4" w14:textId="77777777" w:rsidR="00AA2EBB" w:rsidRDefault="00CA1C1B">
            <w:pPr>
              <w:spacing w:after="100"/>
              <w:jc w:val="center"/>
              <w:rPr>
                <w:rFonts w:ascii="標楷體" w:eastAsia="標楷體" w:hAnsi="標楷體" w:cs="標楷體"/>
              </w:rPr>
            </w:pPr>
            <w:r>
              <w:rPr>
                <w:rFonts w:ascii="標楷體" w:eastAsia="標楷體" w:hAnsi="標楷體" w:cs="標楷體"/>
              </w:rPr>
              <w:t>防護需求分級</w:t>
            </w:r>
          </w:p>
        </w:tc>
      </w:tr>
      <w:tr w:rsidR="00AA2EBB" w14:paraId="5958DA17" w14:textId="77777777">
        <w:tc>
          <w:tcPr>
            <w:tcW w:w="2576" w:type="dxa"/>
            <w:vAlign w:val="center"/>
          </w:tcPr>
          <w:p w14:paraId="5C544568" w14:textId="77777777" w:rsidR="00AA2EBB" w:rsidRDefault="00CA1C1B">
            <w:pPr>
              <w:spacing w:after="100"/>
              <w:jc w:val="center"/>
              <w:rPr>
                <w:rFonts w:ascii="標楷體" w:eastAsia="標楷體" w:hAnsi="標楷體" w:cs="標楷體"/>
              </w:rPr>
            </w:pPr>
            <w:r>
              <w:rPr>
                <w:rFonts w:ascii="標楷體" w:eastAsia="標楷體" w:hAnsi="標楷體" w:cs="標楷體"/>
              </w:rPr>
              <w:t>網路交換器</w:t>
            </w:r>
          </w:p>
        </w:tc>
        <w:tc>
          <w:tcPr>
            <w:tcW w:w="2576" w:type="dxa"/>
            <w:vAlign w:val="center"/>
          </w:tcPr>
          <w:p w14:paraId="27F7826C" w14:textId="77777777" w:rsidR="00AA2EBB" w:rsidRDefault="00CA1C1B">
            <w:pPr>
              <w:spacing w:after="100"/>
              <w:jc w:val="center"/>
              <w:rPr>
                <w:rFonts w:ascii="標楷體" w:eastAsia="標楷體" w:hAnsi="標楷體" w:cs="標楷體"/>
              </w:rPr>
            </w:pPr>
            <w:r>
              <w:rPr>
                <w:rFonts w:ascii="標楷體" w:eastAsia="標楷體" w:hAnsi="標楷體" w:cs="標楷體"/>
              </w:rPr>
              <w:t>網路交換器</w:t>
            </w:r>
          </w:p>
        </w:tc>
        <w:tc>
          <w:tcPr>
            <w:tcW w:w="2577" w:type="dxa"/>
            <w:vAlign w:val="center"/>
          </w:tcPr>
          <w:p w14:paraId="5D532254" w14:textId="77777777" w:rsidR="00AA2EBB" w:rsidRDefault="00CA1C1B">
            <w:pPr>
              <w:spacing w:after="100"/>
              <w:jc w:val="center"/>
              <w:rPr>
                <w:rFonts w:ascii="標楷體" w:eastAsia="標楷體" w:hAnsi="標楷體" w:cs="標楷體"/>
              </w:rPr>
            </w:pPr>
            <w:r>
              <w:rPr>
                <w:rFonts w:ascii="標楷體" w:eastAsia="標楷體" w:hAnsi="標楷體" w:cs="標楷體"/>
              </w:rPr>
              <w:t xml:space="preserve">□高  </w:t>
            </w:r>
            <w:proofErr w:type="gramStart"/>
            <w:r>
              <w:rPr>
                <w:rFonts w:ascii="標楷體" w:eastAsia="標楷體" w:hAnsi="標楷體" w:cs="標楷體"/>
              </w:rPr>
              <w:t>▉</w:t>
            </w:r>
            <w:proofErr w:type="gramEnd"/>
            <w:r>
              <w:rPr>
                <w:rFonts w:ascii="標楷體" w:eastAsia="標楷體" w:hAnsi="標楷體" w:cs="標楷體"/>
              </w:rPr>
              <w:t>中  □普</w:t>
            </w:r>
          </w:p>
        </w:tc>
      </w:tr>
    </w:tbl>
    <w:p w14:paraId="40B37B93" w14:textId="77777777" w:rsidR="00AA2EBB" w:rsidRDefault="00AA2EBB">
      <w:pPr>
        <w:spacing w:after="100"/>
        <w:ind w:left="567"/>
        <w:rPr>
          <w:rFonts w:ascii="標楷體" w:eastAsia="標楷體" w:hAnsi="標楷體" w:cs="標楷體"/>
        </w:rPr>
      </w:pPr>
    </w:p>
    <w:p w14:paraId="40987A5D"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計劃書：</w:t>
      </w:r>
    </w:p>
    <w:p w14:paraId="349B11F6" w14:textId="77777777" w:rsidR="00AA2EBB" w:rsidRDefault="00CA1C1B">
      <w:pPr>
        <w:spacing w:after="100"/>
        <w:rPr>
          <w:rFonts w:ascii="標楷體" w:eastAsia="標楷體" w:hAnsi="標楷體" w:cs="標楷體"/>
        </w:rPr>
      </w:pPr>
      <w:r>
        <w:rPr>
          <w:rFonts w:ascii="標楷體" w:eastAsia="標楷體" w:hAnsi="標楷體" w:cs="標楷體"/>
        </w:rPr>
        <w:t>計劃書內容須包含以下項目</w:t>
      </w:r>
    </w:p>
    <w:p w14:paraId="3C0CCB7B" w14:textId="77777777" w:rsidR="00AA2EBB" w:rsidRDefault="00CA1C1B">
      <w:pPr>
        <w:numPr>
          <w:ilvl w:val="1"/>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依本招標規範第四條「採購標的及數量」規定</w:t>
      </w:r>
      <w:proofErr w:type="gramStart"/>
      <w:r>
        <w:rPr>
          <w:rFonts w:ascii="標楷體" w:eastAsia="標楷體" w:hAnsi="標楷體" w:cs="標楷體"/>
          <w:color w:val="000000"/>
        </w:rPr>
        <w:t>列明每項</w:t>
      </w:r>
      <w:proofErr w:type="gramEnd"/>
      <w:r>
        <w:rPr>
          <w:rFonts w:ascii="標楷體" w:eastAsia="標楷體" w:hAnsi="標楷體" w:cs="標楷體"/>
          <w:color w:val="000000"/>
        </w:rPr>
        <w:t>設備之名稱、品牌、型號及詳細規格資料。並</w:t>
      </w:r>
      <w:proofErr w:type="gramStart"/>
      <w:r>
        <w:rPr>
          <w:rFonts w:ascii="標楷體" w:eastAsia="標楷體" w:hAnsi="標楷體" w:cs="標楷體"/>
          <w:color w:val="000000"/>
        </w:rPr>
        <w:t>逐項編製</w:t>
      </w:r>
      <w:proofErr w:type="gramEnd"/>
      <w:r>
        <w:rPr>
          <w:rFonts w:ascii="標楷體" w:eastAsia="標楷體" w:hAnsi="標楷體" w:cs="標楷體"/>
          <w:color w:val="000000"/>
        </w:rPr>
        <w:t>規格確認表（compliance table）及檢附相關證明文件。投標廠商</w:t>
      </w:r>
      <w:r w:rsidRPr="00A12E45">
        <w:rPr>
          <w:rFonts w:ascii="標楷體" w:eastAsia="標楷體" w:hAnsi="標楷體" w:cs="標楷體"/>
          <w:b/>
          <w:bCs/>
          <w:color w:val="000000"/>
          <w:u w:val="single"/>
        </w:rPr>
        <w:t>應檢附製造廠型錄(正本或</w:t>
      </w:r>
      <w:proofErr w:type="gramStart"/>
      <w:r w:rsidRPr="00A12E45">
        <w:rPr>
          <w:rFonts w:ascii="標楷體" w:eastAsia="標楷體" w:hAnsi="標楷體" w:cs="標楷體"/>
          <w:b/>
          <w:bCs/>
          <w:color w:val="000000"/>
          <w:u w:val="single"/>
        </w:rPr>
        <w:t>影本皆可</w:t>
      </w:r>
      <w:proofErr w:type="gramEnd"/>
      <w:r w:rsidRPr="00A12E45">
        <w:rPr>
          <w:rFonts w:ascii="標楷體" w:eastAsia="標楷體" w:hAnsi="標楷體" w:cs="標楷體"/>
          <w:b/>
          <w:bCs/>
          <w:color w:val="000000"/>
          <w:u w:val="single"/>
        </w:rPr>
        <w:t>)並於其規格型錄上以螢光色筆劃出所報規格並註明招標文件所要求規格之項次</w:t>
      </w:r>
      <w:r>
        <w:rPr>
          <w:rFonts w:ascii="標楷體" w:eastAsia="標楷體" w:hAnsi="標楷體" w:cs="標楷體"/>
          <w:color w:val="000000"/>
        </w:rPr>
        <w:t>，另產品雖符合但無法於該型錄上正確顯現各項規格資料，則須出具相關原廠認可之證明，以供審核。</w:t>
      </w:r>
    </w:p>
    <w:p w14:paraId="51E7019A" w14:textId="77777777" w:rsidR="00AA2EBB" w:rsidRDefault="00CA1C1B">
      <w:pPr>
        <w:numPr>
          <w:ilvl w:val="1"/>
          <w:numId w:val="4"/>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專案執行步驟、可能產生風險與應變方式、測試方式與步驟說明、驗</w:t>
      </w:r>
      <w:r>
        <w:rPr>
          <w:rFonts w:ascii="標楷體" w:eastAsia="標楷體" w:hAnsi="標楷體" w:cs="標楷體"/>
          <w:color w:val="000000"/>
        </w:rPr>
        <w:lastRenderedPageBreak/>
        <w:t>收條件項目與合</w:t>
      </w:r>
      <w:proofErr w:type="gramStart"/>
      <w:r>
        <w:rPr>
          <w:rFonts w:ascii="標楷體" w:eastAsia="標楷體" w:hAnsi="標楷體" w:cs="標楷體"/>
          <w:color w:val="000000"/>
        </w:rPr>
        <w:t>規</w:t>
      </w:r>
      <w:proofErr w:type="gramEnd"/>
      <w:r>
        <w:rPr>
          <w:rFonts w:ascii="標楷體" w:eastAsia="標楷體" w:hAnsi="標楷體" w:cs="標楷體"/>
          <w:color w:val="000000"/>
        </w:rPr>
        <w:t>值。</w:t>
      </w:r>
    </w:p>
    <w:p w14:paraId="26355B92"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採購標的及數量</w:t>
      </w:r>
    </w:p>
    <w:tbl>
      <w:tblPr>
        <w:tblStyle w:val="af5"/>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117"/>
        <w:gridCol w:w="2766"/>
      </w:tblGrid>
      <w:tr w:rsidR="00AA2EBB" w14:paraId="2549AE74" w14:textId="77777777">
        <w:tc>
          <w:tcPr>
            <w:tcW w:w="1413" w:type="dxa"/>
            <w:vAlign w:val="center"/>
          </w:tcPr>
          <w:p w14:paraId="6806B5B8" w14:textId="77777777" w:rsidR="00AA2EBB" w:rsidRDefault="00CA1C1B">
            <w:pPr>
              <w:spacing w:after="100"/>
              <w:jc w:val="center"/>
              <w:rPr>
                <w:rFonts w:ascii="標楷體" w:eastAsia="標楷體" w:hAnsi="標楷體" w:cs="標楷體"/>
              </w:rPr>
            </w:pPr>
            <w:r>
              <w:rPr>
                <w:rFonts w:ascii="標楷體" w:eastAsia="標楷體" w:hAnsi="標楷體" w:cs="標楷體"/>
              </w:rPr>
              <w:t>項次</w:t>
            </w:r>
          </w:p>
        </w:tc>
        <w:tc>
          <w:tcPr>
            <w:tcW w:w="4117" w:type="dxa"/>
          </w:tcPr>
          <w:p w14:paraId="64765132" w14:textId="77777777" w:rsidR="00AA2EBB" w:rsidRDefault="00CA1C1B">
            <w:pPr>
              <w:spacing w:after="100"/>
              <w:jc w:val="center"/>
              <w:rPr>
                <w:rFonts w:ascii="標楷體" w:eastAsia="標楷體" w:hAnsi="標楷體" w:cs="標楷體"/>
              </w:rPr>
            </w:pPr>
            <w:r>
              <w:rPr>
                <w:rFonts w:ascii="標楷體" w:eastAsia="標楷體" w:hAnsi="標楷體" w:cs="標楷體"/>
              </w:rPr>
              <w:t>採購標的</w:t>
            </w:r>
          </w:p>
        </w:tc>
        <w:tc>
          <w:tcPr>
            <w:tcW w:w="2766" w:type="dxa"/>
            <w:vAlign w:val="center"/>
          </w:tcPr>
          <w:p w14:paraId="2A15E6F2" w14:textId="77777777" w:rsidR="00AA2EBB" w:rsidRDefault="00CA1C1B">
            <w:pPr>
              <w:spacing w:after="100"/>
              <w:jc w:val="center"/>
              <w:rPr>
                <w:rFonts w:ascii="標楷體" w:eastAsia="標楷體" w:hAnsi="標楷體" w:cs="標楷體"/>
              </w:rPr>
            </w:pPr>
            <w:r>
              <w:rPr>
                <w:rFonts w:ascii="標楷體" w:eastAsia="標楷體" w:hAnsi="標楷體" w:cs="標楷體"/>
              </w:rPr>
              <w:t>數量及單位</w:t>
            </w:r>
          </w:p>
        </w:tc>
      </w:tr>
      <w:tr w:rsidR="00AA2EBB" w14:paraId="14D2778D" w14:textId="77777777">
        <w:tc>
          <w:tcPr>
            <w:tcW w:w="1413" w:type="dxa"/>
            <w:vAlign w:val="center"/>
          </w:tcPr>
          <w:p w14:paraId="16B65822" w14:textId="77777777" w:rsidR="00AA2EBB" w:rsidRDefault="00CA1C1B">
            <w:pPr>
              <w:spacing w:after="100"/>
              <w:jc w:val="center"/>
              <w:rPr>
                <w:rFonts w:ascii="標楷體" w:eastAsia="標楷體" w:hAnsi="標楷體" w:cs="標楷體"/>
              </w:rPr>
            </w:pPr>
            <w:r>
              <w:rPr>
                <w:rFonts w:ascii="標楷體" w:eastAsia="標楷體" w:hAnsi="標楷體" w:cs="標楷體"/>
              </w:rPr>
              <w:t>1</w:t>
            </w:r>
          </w:p>
        </w:tc>
        <w:tc>
          <w:tcPr>
            <w:tcW w:w="4117" w:type="dxa"/>
          </w:tcPr>
          <w:p w14:paraId="6C5FC878" w14:textId="77777777" w:rsidR="00AA2EBB" w:rsidRDefault="00CA1C1B">
            <w:pPr>
              <w:spacing w:after="100"/>
              <w:rPr>
                <w:rFonts w:ascii="標楷體" w:eastAsia="標楷體" w:hAnsi="標楷體" w:cs="標楷體"/>
              </w:rPr>
            </w:pPr>
            <w:r>
              <w:rPr>
                <w:rFonts w:ascii="標楷體" w:eastAsia="標楷體" w:hAnsi="標楷體" w:cs="標楷體"/>
              </w:rPr>
              <w:t>網路交換器</w:t>
            </w:r>
          </w:p>
        </w:tc>
        <w:tc>
          <w:tcPr>
            <w:tcW w:w="2766" w:type="dxa"/>
            <w:vAlign w:val="center"/>
          </w:tcPr>
          <w:p w14:paraId="319AA5AC" w14:textId="77777777" w:rsidR="00AA2EBB" w:rsidRDefault="00CA1C1B">
            <w:pPr>
              <w:spacing w:after="100"/>
              <w:jc w:val="center"/>
              <w:rPr>
                <w:rFonts w:ascii="標楷體" w:eastAsia="標楷體" w:hAnsi="標楷體" w:cs="標楷體"/>
              </w:rPr>
            </w:pPr>
            <w:r>
              <w:rPr>
                <w:rFonts w:ascii="標楷體" w:eastAsia="標楷體" w:hAnsi="標楷體" w:cs="標楷體"/>
              </w:rPr>
              <w:t>15台</w:t>
            </w:r>
          </w:p>
        </w:tc>
      </w:tr>
      <w:tr w:rsidR="00AA2EBB" w14:paraId="0C73F188" w14:textId="77777777">
        <w:tc>
          <w:tcPr>
            <w:tcW w:w="1413" w:type="dxa"/>
            <w:vAlign w:val="center"/>
          </w:tcPr>
          <w:p w14:paraId="69411B4F" w14:textId="77777777" w:rsidR="00AA2EBB" w:rsidRDefault="00CA1C1B">
            <w:pPr>
              <w:spacing w:after="100"/>
              <w:jc w:val="center"/>
              <w:rPr>
                <w:rFonts w:ascii="標楷體" w:eastAsia="標楷體" w:hAnsi="標楷體" w:cs="標楷體"/>
              </w:rPr>
            </w:pPr>
            <w:r>
              <w:rPr>
                <w:rFonts w:ascii="標楷體" w:eastAsia="標楷體" w:hAnsi="標楷體" w:cs="標楷體"/>
              </w:rPr>
              <w:t>2</w:t>
            </w:r>
          </w:p>
        </w:tc>
        <w:tc>
          <w:tcPr>
            <w:tcW w:w="4117" w:type="dxa"/>
          </w:tcPr>
          <w:p w14:paraId="01C1A3A8" w14:textId="77777777" w:rsidR="00AA2EBB" w:rsidRDefault="00CA1C1B">
            <w:pPr>
              <w:spacing w:after="100"/>
              <w:rPr>
                <w:rFonts w:ascii="標楷體" w:eastAsia="標楷體" w:hAnsi="標楷體" w:cs="標楷體"/>
              </w:rPr>
            </w:pPr>
            <w:r>
              <w:rPr>
                <w:rFonts w:ascii="標楷體" w:eastAsia="標楷體" w:hAnsi="標楷體" w:cs="標楷體"/>
              </w:rPr>
              <w:t>水平線路施工</w:t>
            </w:r>
          </w:p>
        </w:tc>
        <w:tc>
          <w:tcPr>
            <w:tcW w:w="2766" w:type="dxa"/>
            <w:vAlign w:val="center"/>
          </w:tcPr>
          <w:p w14:paraId="7CB02477" w14:textId="77777777" w:rsidR="00AA2EBB" w:rsidRDefault="00CA1C1B">
            <w:pPr>
              <w:spacing w:after="100"/>
              <w:jc w:val="center"/>
              <w:rPr>
                <w:rFonts w:ascii="標楷體" w:eastAsia="標楷體" w:hAnsi="標楷體" w:cs="標楷體"/>
              </w:rPr>
            </w:pPr>
            <w:r>
              <w:rPr>
                <w:rFonts w:ascii="標楷體" w:eastAsia="標楷體" w:hAnsi="標楷體" w:cs="標楷體"/>
              </w:rPr>
              <w:t>1式</w:t>
            </w:r>
          </w:p>
        </w:tc>
      </w:tr>
      <w:tr w:rsidR="00AA2EBB" w14:paraId="7BA0956B" w14:textId="77777777">
        <w:tc>
          <w:tcPr>
            <w:tcW w:w="1413" w:type="dxa"/>
            <w:vAlign w:val="center"/>
          </w:tcPr>
          <w:p w14:paraId="5705A208" w14:textId="77777777" w:rsidR="00AA2EBB" w:rsidRDefault="00CA1C1B">
            <w:pPr>
              <w:spacing w:after="100"/>
              <w:jc w:val="center"/>
              <w:rPr>
                <w:rFonts w:ascii="標楷體" w:eastAsia="標楷體" w:hAnsi="標楷體" w:cs="標楷體"/>
              </w:rPr>
            </w:pPr>
            <w:r>
              <w:rPr>
                <w:rFonts w:ascii="標楷體" w:eastAsia="標楷體" w:hAnsi="標楷體" w:cs="標楷體"/>
              </w:rPr>
              <w:t>3</w:t>
            </w:r>
          </w:p>
        </w:tc>
        <w:tc>
          <w:tcPr>
            <w:tcW w:w="4117" w:type="dxa"/>
          </w:tcPr>
          <w:p w14:paraId="0E25EC85" w14:textId="77777777" w:rsidR="00AA2EBB" w:rsidRDefault="00CA1C1B">
            <w:pPr>
              <w:spacing w:after="100"/>
              <w:rPr>
                <w:rFonts w:ascii="標楷體" w:eastAsia="標楷體" w:hAnsi="標楷體" w:cs="標楷體"/>
              </w:rPr>
            </w:pPr>
            <w:r>
              <w:rPr>
                <w:rFonts w:ascii="標楷體" w:eastAsia="標楷體" w:hAnsi="標楷體" w:cs="標楷體"/>
              </w:rPr>
              <w:t>垂直線路施工</w:t>
            </w:r>
          </w:p>
        </w:tc>
        <w:tc>
          <w:tcPr>
            <w:tcW w:w="2766" w:type="dxa"/>
            <w:vAlign w:val="center"/>
          </w:tcPr>
          <w:p w14:paraId="5FEF5519" w14:textId="77777777" w:rsidR="00AA2EBB" w:rsidRDefault="00CA1C1B">
            <w:pPr>
              <w:spacing w:after="100"/>
              <w:jc w:val="center"/>
              <w:rPr>
                <w:rFonts w:ascii="標楷體" w:eastAsia="標楷體" w:hAnsi="標楷體" w:cs="標楷體"/>
              </w:rPr>
            </w:pPr>
            <w:r>
              <w:rPr>
                <w:rFonts w:ascii="標楷體" w:eastAsia="標楷體" w:hAnsi="標楷體" w:cs="標楷體"/>
              </w:rPr>
              <w:t>1式</w:t>
            </w:r>
          </w:p>
        </w:tc>
      </w:tr>
    </w:tbl>
    <w:p w14:paraId="5A9114F1" w14:textId="77777777" w:rsidR="00AA2EBB" w:rsidRDefault="00AA2EBB">
      <w:pPr>
        <w:spacing w:after="100"/>
        <w:rPr>
          <w:rFonts w:ascii="標楷體" w:eastAsia="標楷體" w:hAnsi="標楷體" w:cs="標楷體"/>
        </w:rPr>
      </w:pPr>
    </w:p>
    <w:p w14:paraId="0ADD511F" w14:textId="77777777" w:rsidR="00AA2EBB" w:rsidRDefault="00CA1C1B">
      <w:pPr>
        <w:numPr>
          <w:ilvl w:val="0"/>
          <w:numId w:val="4"/>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 xml:space="preserve">規格需求：              </w:t>
      </w:r>
    </w:p>
    <w:tbl>
      <w:tblPr>
        <w:tblStyle w:val="af6"/>
        <w:tblW w:w="9420" w:type="dxa"/>
        <w:tblInd w:w="-28" w:type="dxa"/>
        <w:tblLayout w:type="fixed"/>
        <w:tblLook w:val="0400" w:firstRow="0" w:lastRow="0" w:firstColumn="0" w:lastColumn="0" w:noHBand="0" w:noVBand="1"/>
      </w:tblPr>
      <w:tblGrid>
        <w:gridCol w:w="750"/>
        <w:gridCol w:w="1110"/>
        <w:gridCol w:w="6090"/>
        <w:gridCol w:w="720"/>
        <w:gridCol w:w="750"/>
      </w:tblGrid>
      <w:tr w:rsidR="00AA2EBB" w14:paraId="7424C1CE" w14:textId="77777777">
        <w:tc>
          <w:tcPr>
            <w:tcW w:w="750" w:type="dxa"/>
            <w:tcBorders>
              <w:top w:val="single" w:sz="12" w:space="0" w:color="000000"/>
              <w:left w:val="single" w:sz="12" w:space="0" w:color="000000"/>
              <w:bottom w:val="single" w:sz="6" w:space="0" w:color="000000"/>
              <w:right w:val="single" w:sz="12" w:space="0" w:color="000000"/>
            </w:tcBorders>
          </w:tcPr>
          <w:p w14:paraId="677DD77E" w14:textId="77777777" w:rsidR="00AA2EBB" w:rsidRDefault="00CA1C1B">
            <w:pPr>
              <w:ind w:left="134"/>
              <w:jc w:val="both"/>
              <w:rPr>
                <w:rFonts w:ascii="標楷體" w:eastAsia="標楷體" w:hAnsi="標楷體" w:cs="標楷體"/>
              </w:rPr>
            </w:pPr>
            <w:r>
              <w:rPr>
                <w:rFonts w:ascii="標楷體" w:eastAsia="標楷體" w:hAnsi="標楷體" w:cs="標楷體"/>
              </w:rPr>
              <w:t>項次</w:t>
            </w:r>
            <w:r>
              <w:rPr>
                <w:rFonts w:ascii="標楷體" w:eastAsia="標楷體" w:hAnsi="標楷體" w:cs="標楷體"/>
                <w:b/>
              </w:rPr>
              <w:t xml:space="preserve"> </w:t>
            </w:r>
          </w:p>
        </w:tc>
        <w:tc>
          <w:tcPr>
            <w:tcW w:w="1110" w:type="dxa"/>
            <w:tcBorders>
              <w:top w:val="single" w:sz="12" w:space="0" w:color="000000"/>
              <w:left w:val="single" w:sz="12" w:space="0" w:color="000000"/>
              <w:bottom w:val="single" w:sz="6" w:space="0" w:color="000000"/>
              <w:right w:val="single" w:sz="12" w:space="0" w:color="000000"/>
            </w:tcBorders>
          </w:tcPr>
          <w:p w14:paraId="61C0F6AE" w14:textId="77777777" w:rsidR="00AA2EBB" w:rsidRDefault="00CA1C1B">
            <w:pPr>
              <w:ind w:left="61"/>
              <w:jc w:val="center"/>
              <w:rPr>
                <w:rFonts w:ascii="標楷體" w:eastAsia="標楷體" w:hAnsi="標楷體" w:cs="標楷體"/>
              </w:rPr>
            </w:pPr>
            <w:r>
              <w:rPr>
                <w:rFonts w:ascii="標楷體" w:eastAsia="標楷體" w:hAnsi="標楷體" w:cs="標楷體"/>
              </w:rPr>
              <w:t>品   名</w:t>
            </w:r>
            <w:r>
              <w:rPr>
                <w:rFonts w:ascii="標楷體" w:eastAsia="標楷體" w:hAnsi="標楷體" w:cs="標楷體"/>
                <w:b/>
              </w:rPr>
              <w:t xml:space="preserve"> </w:t>
            </w:r>
          </w:p>
        </w:tc>
        <w:tc>
          <w:tcPr>
            <w:tcW w:w="6090" w:type="dxa"/>
            <w:tcBorders>
              <w:top w:val="single" w:sz="12" w:space="0" w:color="000000"/>
              <w:left w:val="single" w:sz="12" w:space="0" w:color="000000"/>
              <w:bottom w:val="single" w:sz="6" w:space="0" w:color="000000"/>
              <w:right w:val="single" w:sz="12" w:space="0" w:color="000000"/>
            </w:tcBorders>
          </w:tcPr>
          <w:p w14:paraId="42C45F5B" w14:textId="77777777" w:rsidR="00AA2EBB" w:rsidRDefault="00CA1C1B">
            <w:pPr>
              <w:ind w:left="61"/>
              <w:jc w:val="center"/>
              <w:rPr>
                <w:rFonts w:ascii="標楷體" w:eastAsia="標楷體" w:hAnsi="標楷體" w:cs="標楷體"/>
              </w:rPr>
            </w:pPr>
            <w:proofErr w:type="gramStart"/>
            <w:r>
              <w:rPr>
                <w:rFonts w:ascii="標楷體" w:eastAsia="標楷體" w:hAnsi="標楷體" w:cs="標楷體"/>
              </w:rPr>
              <w:t>規</w:t>
            </w:r>
            <w:proofErr w:type="gramEnd"/>
            <w:r>
              <w:rPr>
                <w:rFonts w:ascii="標楷體" w:eastAsia="標楷體" w:hAnsi="標楷體" w:cs="標楷體"/>
                <w:b/>
              </w:rPr>
              <w:t xml:space="preserve">       </w:t>
            </w:r>
            <w:r>
              <w:rPr>
                <w:rFonts w:ascii="標楷體" w:eastAsia="標楷體" w:hAnsi="標楷體" w:cs="標楷體"/>
              </w:rPr>
              <w:t>格</w:t>
            </w:r>
            <w:r>
              <w:rPr>
                <w:rFonts w:ascii="標楷體" w:eastAsia="標楷體" w:hAnsi="標楷體" w:cs="標楷體"/>
                <w:b/>
              </w:rPr>
              <w:t xml:space="preserve"> </w:t>
            </w:r>
          </w:p>
        </w:tc>
        <w:tc>
          <w:tcPr>
            <w:tcW w:w="720" w:type="dxa"/>
            <w:tcBorders>
              <w:top w:val="single" w:sz="12" w:space="0" w:color="000000"/>
              <w:left w:val="single" w:sz="12" w:space="0" w:color="000000"/>
              <w:bottom w:val="single" w:sz="6" w:space="0" w:color="000000"/>
              <w:right w:val="single" w:sz="12" w:space="0" w:color="000000"/>
            </w:tcBorders>
          </w:tcPr>
          <w:p w14:paraId="028B005A" w14:textId="77777777" w:rsidR="00AA2EBB" w:rsidRDefault="00CA1C1B">
            <w:pPr>
              <w:ind w:left="119"/>
              <w:jc w:val="both"/>
              <w:rPr>
                <w:rFonts w:ascii="標楷體" w:eastAsia="標楷體" w:hAnsi="標楷體" w:cs="標楷體"/>
              </w:rPr>
            </w:pPr>
            <w:r>
              <w:rPr>
                <w:rFonts w:ascii="標楷體" w:eastAsia="標楷體" w:hAnsi="標楷體" w:cs="標楷體"/>
              </w:rPr>
              <w:t>單位</w:t>
            </w:r>
            <w:r>
              <w:rPr>
                <w:rFonts w:ascii="標楷體" w:eastAsia="標楷體" w:hAnsi="標楷體" w:cs="標楷體"/>
                <w:b/>
              </w:rPr>
              <w:t xml:space="preserve"> </w:t>
            </w:r>
          </w:p>
        </w:tc>
        <w:tc>
          <w:tcPr>
            <w:tcW w:w="750" w:type="dxa"/>
            <w:tcBorders>
              <w:top w:val="single" w:sz="12" w:space="0" w:color="000000"/>
              <w:left w:val="single" w:sz="12" w:space="0" w:color="000000"/>
              <w:bottom w:val="single" w:sz="6" w:space="0" w:color="000000"/>
              <w:right w:val="single" w:sz="12" w:space="0" w:color="000000"/>
            </w:tcBorders>
          </w:tcPr>
          <w:p w14:paraId="29992B74" w14:textId="77777777" w:rsidR="00AA2EBB" w:rsidRDefault="00CA1C1B">
            <w:pPr>
              <w:ind w:left="134"/>
              <w:jc w:val="both"/>
              <w:rPr>
                <w:rFonts w:ascii="標楷體" w:eastAsia="標楷體" w:hAnsi="標楷體" w:cs="標楷體"/>
              </w:rPr>
            </w:pPr>
            <w:r>
              <w:rPr>
                <w:rFonts w:ascii="標楷體" w:eastAsia="標楷體" w:hAnsi="標楷體" w:cs="標楷體"/>
              </w:rPr>
              <w:t>數量</w:t>
            </w:r>
          </w:p>
        </w:tc>
      </w:tr>
      <w:tr w:rsidR="00AA2EBB" w14:paraId="7244A3DE" w14:textId="77777777">
        <w:tc>
          <w:tcPr>
            <w:tcW w:w="750" w:type="dxa"/>
            <w:tcBorders>
              <w:top w:val="single" w:sz="6" w:space="0" w:color="000000"/>
              <w:left w:val="single" w:sz="12" w:space="0" w:color="000000"/>
              <w:right w:val="single" w:sz="12" w:space="0" w:color="000000"/>
            </w:tcBorders>
          </w:tcPr>
          <w:p w14:paraId="412BE350"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 xml:space="preserve">1 </w:t>
            </w:r>
          </w:p>
        </w:tc>
        <w:tc>
          <w:tcPr>
            <w:tcW w:w="1110" w:type="dxa"/>
            <w:tcBorders>
              <w:top w:val="single" w:sz="6" w:space="0" w:color="000000"/>
              <w:left w:val="single" w:sz="12" w:space="0" w:color="000000"/>
              <w:bottom w:val="single" w:sz="4" w:space="0" w:color="000000"/>
              <w:right w:val="single" w:sz="12" w:space="0" w:color="000000"/>
            </w:tcBorders>
          </w:tcPr>
          <w:p w14:paraId="4BBC480F" w14:textId="77777777" w:rsidR="00AA2EBB" w:rsidRDefault="00CA1C1B">
            <w:pPr>
              <w:spacing w:after="41"/>
              <w:rPr>
                <w:rFonts w:ascii="標楷體" w:eastAsia="標楷體" w:hAnsi="標楷體" w:cs="標楷體"/>
              </w:rPr>
            </w:pPr>
            <w:r>
              <w:rPr>
                <w:rFonts w:ascii="標楷體" w:eastAsia="標楷體" w:hAnsi="標楷體" w:cs="標楷體"/>
              </w:rPr>
              <w:t>網路交換器</w:t>
            </w:r>
          </w:p>
        </w:tc>
        <w:tc>
          <w:tcPr>
            <w:tcW w:w="6090" w:type="dxa"/>
            <w:tcBorders>
              <w:top w:val="single" w:sz="6" w:space="0" w:color="000000"/>
              <w:left w:val="single" w:sz="12" w:space="0" w:color="000000"/>
              <w:bottom w:val="single" w:sz="4" w:space="0" w:color="000000"/>
              <w:right w:val="single" w:sz="12" w:space="0" w:color="000000"/>
            </w:tcBorders>
          </w:tcPr>
          <w:p w14:paraId="112532AE"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10/100G 48 Port 10G Base-T交換機，參考型號如DELL S4148T-ON。</w:t>
            </w:r>
          </w:p>
          <w:p w14:paraId="5B15FEC6"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 xml:space="preserve">獨立主機本身系統背板交換頻寬(Switch Fabric)需提供1.7 </w:t>
            </w:r>
            <w:proofErr w:type="spellStart"/>
            <w:r>
              <w:rPr>
                <w:rFonts w:ascii="標楷體" w:eastAsia="標楷體" w:hAnsi="標楷體" w:cs="標楷體"/>
                <w:color w:val="000000"/>
              </w:rPr>
              <w:t>Tbps</w:t>
            </w:r>
            <w:proofErr w:type="spellEnd"/>
            <w:r>
              <w:rPr>
                <w:rFonts w:ascii="標楷體" w:eastAsia="標楷體" w:hAnsi="標楷體" w:cs="標楷體"/>
                <w:color w:val="000000"/>
              </w:rPr>
              <w:t>(含)以上並具備直通交換(cut-through switching fabric)能力與提供1300Mpps(含)以上的封包交換轉送(forwarding Rate)處理能力。</w:t>
            </w:r>
          </w:p>
          <w:p w14:paraId="75DBC94B"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獨立主機本身提供至少4GB(含)以上Memory以作為系統運作所需，並需具備12MB(含)以上的封包緩衝記憶體(Packet Buffer Memory)。</w:t>
            </w:r>
          </w:p>
          <w:p w14:paraId="0BC63A82"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設備本身需具備MLAG(Multi-chassis Link Aggregation Group)能力或相同能力的功能達到高可度(High Availability) ，來有效提高頻寬利用率，可避免升級韌體(Firmware)版本或當障礙發生時，網路訊</w:t>
            </w:r>
            <w:proofErr w:type="gramStart"/>
            <w:r>
              <w:rPr>
                <w:rFonts w:ascii="標楷體" w:eastAsia="標楷體" w:hAnsi="標楷體" w:cs="標楷體"/>
                <w:color w:val="000000"/>
              </w:rPr>
              <w:t>務</w:t>
            </w:r>
            <w:proofErr w:type="gramEnd"/>
            <w:r>
              <w:rPr>
                <w:rFonts w:ascii="標楷體" w:eastAsia="標楷體" w:hAnsi="標楷體" w:cs="標楷體"/>
                <w:color w:val="000000"/>
              </w:rPr>
              <w:t>無需停止服務，來降低到最小損害。</w:t>
            </w:r>
          </w:p>
          <w:p w14:paraId="4EBF553B"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本設備所使用之韌體（Firmware）為全系列通用版本，適用於同系列不同型號之交換器，包括支援1G、10G、25G、100G 及 400G 等傳輸速率之機型。</w:t>
            </w:r>
          </w:p>
          <w:p w14:paraId="1D35A7A1"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設備所使用之韌體（Firmware）應可於原廠官方網站註冊帳號後免費下載，且即使產品</w:t>
            </w:r>
            <w:proofErr w:type="gramStart"/>
            <w:r>
              <w:rPr>
                <w:rFonts w:ascii="標楷體" w:eastAsia="標楷體" w:hAnsi="標楷體" w:cs="標楷體"/>
                <w:color w:val="000000"/>
              </w:rPr>
              <w:t>已逾保固</w:t>
            </w:r>
            <w:proofErr w:type="gramEnd"/>
            <w:r>
              <w:rPr>
                <w:rFonts w:ascii="標楷體" w:eastAsia="標楷體" w:hAnsi="標楷體" w:cs="標楷體"/>
                <w:color w:val="000000"/>
              </w:rPr>
              <w:t>期限，仍應無限制地提供最新版本韌體之下載與更新服務。</w:t>
            </w:r>
          </w:p>
          <w:p w14:paraId="2E6C943F"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設備本身具備並提供兩個(含)以上支援</w:t>
            </w:r>
            <w:proofErr w:type="gramStart"/>
            <w:r>
              <w:rPr>
                <w:rFonts w:ascii="標楷體" w:eastAsia="標楷體" w:hAnsi="標楷體" w:cs="標楷體"/>
                <w:color w:val="000000"/>
              </w:rPr>
              <w:t>熱拔插</w:t>
            </w:r>
            <w:proofErr w:type="gramEnd"/>
            <w:r>
              <w:rPr>
                <w:rFonts w:ascii="標楷體" w:eastAsia="標楷體" w:hAnsi="標楷體" w:cs="標楷體"/>
                <w:color w:val="000000"/>
              </w:rPr>
              <w:t>(hot-swap)的AC電源供應器</w:t>
            </w:r>
            <w:proofErr w:type="gramStart"/>
            <w:r>
              <w:rPr>
                <w:rFonts w:ascii="標楷體" w:eastAsia="標楷體" w:hAnsi="標楷體" w:cs="標楷體"/>
                <w:color w:val="000000"/>
              </w:rPr>
              <w:t>模組插槽之外</w:t>
            </w:r>
            <w:proofErr w:type="gramEnd"/>
            <w:r>
              <w:rPr>
                <w:rFonts w:ascii="標楷體" w:eastAsia="標楷體" w:hAnsi="標楷體" w:cs="標楷體"/>
                <w:color w:val="000000"/>
              </w:rPr>
              <w:t>，並需提供兩個(含)以上的風扇(fan)模塊，達到電源與風扇備援(Redundant Power Supply)的功能。</w:t>
            </w:r>
          </w:p>
          <w:p w14:paraId="167FF6AD"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設備需具備48個10G Base-T Gigabit Ethernet交換連接埠，且此48個10G Base-T</w:t>
            </w:r>
            <w:proofErr w:type="gramStart"/>
            <w:r>
              <w:rPr>
                <w:rFonts w:ascii="標楷體" w:eastAsia="標楷體" w:hAnsi="標楷體" w:cs="標楷體"/>
                <w:color w:val="000000"/>
              </w:rPr>
              <w:t>埠口可</w:t>
            </w:r>
            <w:proofErr w:type="gramEnd"/>
            <w:r>
              <w:rPr>
                <w:rFonts w:ascii="標楷體" w:eastAsia="標楷體" w:hAnsi="標楷體" w:cs="標楷體"/>
                <w:color w:val="000000"/>
              </w:rPr>
              <w:t>支援100M/1GbE/10GbaseT (RJ45) ，及具備4個100GbE QSFP28 連接埠與具備2個40GbE QSFP+ 連接埠。</w:t>
            </w:r>
          </w:p>
          <w:p w14:paraId="462710C1"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lastRenderedPageBreak/>
              <w:t>獨立主機本身需具備與既有核心交換器相同的工業標準Open Network Install Environment(ONIE)達到日後本公司未來進行零接觸(zero touch)安裝系統整合，</w:t>
            </w:r>
            <w:proofErr w:type="gramStart"/>
            <w:r>
              <w:rPr>
                <w:rFonts w:ascii="標楷體" w:eastAsia="標楷體" w:hAnsi="標楷體" w:cs="標楷體"/>
                <w:color w:val="000000"/>
              </w:rPr>
              <w:t>減少運維的</w:t>
            </w:r>
            <w:proofErr w:type="gramEnd"/>
            <w:r>
              <w:rPr>
                <w:rFonts w:ascii="標楷體" w:eastAsia="標楷體" w:hAnsi="標楷體" w:cs="標楷體"/>
                <w:color w:val="000000"/>
              </w:rPr>
              <w:t>錯誤植入。</w:t>
            </w:r>
          </w:p>
          <w:p w14:paraId="63BAA802"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 xml:space="preserve">獨立主機本身需提USB (Type A) </w:t>
            </w:r>
            <w:proofErr w:type="gramStart"/>
            <w:r>
              <w:rPr>
                <w:rFonts w:ascii="標楷體" w:eastAsia="標楷體" w:hAnsi="標楷體" w:cs="標楷體"/>
                <w:color w:val="000000"/>
              </w:rPr>
              <w:t>埠口</w:t>
            </w:r>
            <w:proofErr w:type="gramEnd"/>
            <w:r>
              <w:rPr>
                <w:rFonts w:ascii="標楷體" w:eastAsia="標楷體" w:hAnsi="標楷體" w:cs="標楷體"/>
                <w:color w:val="000000"/>
              </w:rPr>
              <w:t>，可提供交換機 auto-configuration無須透過TFTP configurations ，來降低複雜configurations方式。</w:t>
            </w:r>
          </w:p>
          <w:p w14:paraId="0ACC4426"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 xml:space="preserve">本案需提供一條原廠品牌1米100GbE QSFP28 </w:t>
            </w:r>
            <w:proofErr w:type="gramStart"/>
            <w:r>
              <w:rPr>
                <w:rFonts w:ascii="標楷體" w:eastAsia="標楷體" w:hAnsi="標楷體" w:cs="標楷體"/>
                <w:color w:val="000000"/>
              </w:rPr>
              <w:t>銅軸直連</w:t>
            </w:r>
            <w:proofErr w:type="gramEnd"/>
            <w:r>
              <w:rPr>
                <w:rFonts w:ascii="標楷體" w:eastAsia="標楷體" w:hAnsi="標楷體" w:cs="標楷體"/>
                <w:color w:val="000000"/>
              </w:rPr>
              <w:t>電纜線(passive copper direct attach cable)。上述配件不可採用副廠或原廠授權之第三品牌替代交付。</w:t>
            </w:r>
          </w:p>
          <w:p w14:paraId="595F1D1A"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具備160K(含)以上之MAC (Media Access Control)  Addresses。</w:t>
            </w:r>
          </w:p>
          <w:p w14:paraId="30EC4A3C"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獨立主機所提供的Gigabit Ethernet</w:t>
            </w:r>
            <w:proofErr w:type="gramStart"/>
            <w:r>
              <w:rPr>
                <w:rFonts w:ascii="標楷體" w:eastAsia="標楷體" w:hAnsi="標楷體" w:cs="標楷體"/>
                <w:color w:val="000000"/>
              </w:rPr>
              <w:t>埠口</w:t>
            </w:r>
            <w:proofErr w:type="gramEnd"/>
            <w:r>
              <w:rPr>
                <w:rFonts w:ascii="標楷體" w:eastAsia="標楷體" w:hAnsi="標楷體" w:cs="標楷體"/>
                <w:color w:val="000000"/>
              </w:rPr>
              <w:t>，需具備IEEE 802.3ad功能，最少需能針對16個1/10Gigabit Ethernet Port (含)以上進行Link Aggregation ，並可達128 LAG 組(groups)。</w:t>
            </w:r>
          </w:p>
          <w:p w14:paraId="73E8A6D3"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具備支援IEEE 802.1q VLAN Tagging、IEEE 802.1s Multiple Spanning Tree (MST)、IEEE 802.1w Rapid Spanning Tree、支援PVST。</w:t>
            </w:r>
          </w:p>
          <w:p w14:paraId="3F54F459"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具備支援Policy Based Routing (PBR)、廣播風暴控制(Broadcast Storm Control)、IEEE 802.3x流量控制(Flow control)、Port Mirroring功能、IEEE 802.1p Priority Queuing優先權排序，每</w:t>
            </w:r>
            <w:proofErr w:type="gramStart"/>
            <w:r>
              <w:rPr>
                <w:rFonts w:ascii="標楷體" w:eastAsia="標楷體" w:hAnsi="標楷體" w:cs="標楷體"/>
                <w:color w:val="000000"/>
              </w:rPr>
              <w:t>個</w:t>
            </w:r>
            <w:proofErr w:type="gramEnd"/>
            <w:r>
              <w:rPr>
                <w:rFonts w:ascii="標楷體" w:eastAsia="標楷體" w:hAnsi="標楷體" w:cs="標楷體"/>
                <w:color w:val="000000"/>
              </w:rPr>
              <w:t>連接埠並提供8個 Priority Queues，以保證QoS服務品質管理功能、支援VRRP (Virtual Router Redundancy Protocol)。</w:t>
            </w:r>
          </w:p>
          <w:p w14:paraId="392ED260"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設備系統需具備動態路由( Dynamic routes)至少需達128K Routes (IPv6)筆數(含)以上及 64K Routes (IPv4)筆數(含)以上、需支援BGP、OSPFv2 、OSPFv3等動態路由協定。</w:t>
            </w:r>
          </w:p>
          <w:p w14:paraId="544970C2"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設備最大的傳輸單位(MTU)至少可逹9,216 Bytes(含) 以上、系統需具備Security功能：支援MAC 及IP Access Control List(ACL)功能，並可真對下列所列的機制進行Permit或Deny等過濾行為：</w:t>
            </w:r>
            <w:proofErr w:type="spellStart"/>
            <w:r>
              <w:rPr>
                <w:rFonts w:ascii="標楷體" w:eastAsia="標楷體" w:hAnsi="標楷體" w:cs="標楷體"/>
                <w:color w:val="000000"/>
              </w:rPr>
              <w:t>EtherType</w:t>
            </w:r>
            <w:proofErr w:type="spellEnd"/>
            <w:r>
              <w:rPr>
                <w:rFonts w:ascii="標楷體" w:eastAsia="標楷體" w:hAnsi="標楷體" w:cs="標楷體"/>
                <w:color w:val="000000"/>
              </w:rPr>
              <w:t>、</w:t>
            </w:r>
            <w:proofErr w:type="spellStart"/>
            <w:r>
              <w:rPr>
                <w:rFonts w:ascii="標楷體" w:eastAsia="標楷體" w:hAnsi="標楷體" w:cs="標楷體"/>
                <w:color w:val="000000"/>
              </w:rPr>
              <w:t>EtherType</w:t>
            </w:r>
            <w:proofErr w:type="spellEnd"/>
            <w:r>
              <w:rPr>
                <w:rFonts w:ascii="標楷體" w:eastAsia="標楷體" w:hAnsi="標楷體" w:cs="標楷體"/>
                <w:color w:val="000000"/>
              </w:rPr>
              <w:t>、Source Address、Destination Address、Protocol、TCP/UDP、Precedence、DSCP。</w:t>
            </w:r>
          </w:p>
          <w:p w14:paraId="2077B20C"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lastRenderedPageBreak/>
              <w:t>設備本身需具備支援ACL 設定規則(ACL rules)最少每</w:t>
            </w:r>
            <w:proofErr w:type="gramStart"/>
            <w:r>
              <w:rPr>
                <w:rFonts w:ascii="標楷體" w:eastAsia="標楷體" w:hAnsi="標楷體" w:cs="標楷體"/>
                <w:color w:val="000000"/>
              </w:rPr>
              <w:t>個</w:t>
            </w:r>
            <w:proofErr w:type="gramEnd"/>
            <w:r>
              <w:rPr>
                <w:rFonts w:ascii="標楷體" w:eastAsia="標楷體" w:hAnsi="標楷體" w:cs="標楷體"/>
                <w:color w:val="000000"/>
              </w:rPr>
              <w:t>介面( interface) IPv4 可達(含以上)6,000進入(ingress)及1000 往外(egress)，或最少每</w:t>
            </w:r>
            <w:proofErr w:type="gramStart"/>
            <w:r>
              <w:rPr>
                <w:rFonts w:ascii="標楷體" w:eastAsia="標楷體" w:hAnsi="標楷體" w:cs="標楷體"/>
                <w:color w:val="000000"/>
              </w:rPr>
              <w:t>個</w:t>
            </w:r>
            <w:proofErr w:type="gramEnd"/>
            <w:r>
              <w:rPr>
                <w:rFonts w:ascii="標楷體" w:eastAsia="標楷體" w:hAnsi="標楷體" w:cs="標楷體"/>
                <w:color w:val="000000"/>
              </w:rPr>
              <w:t>介面( interface) IPv6 可達(含以上)3,000 進入(ingress)及500往外(egress)。</w:t>
            </w:r>
          </w:p>
          <w:p w14:paraId="2AF63B98"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具備IEEE 802.1x Network Login與Port Security存取控制安全機制、系統管理者可用終端機、網路主機或網路管理工作站以下列方式與路由器連線，並能設定各種參數及監控作業：Telnet、SSHv2、系統管理者可設定系統設備的管理者及使用者密碼，並可支援Command Line Interface (CLI)組態方式設定。</w:t>
            </w:r>
          </w:p>
          <w:p w14:paraId="435909C4"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設備應具備第二層（L2）及第三層（L3）之 VXLAN Gateway 功能，並支援資料中心網路所需之進階流量控制與交換機制，包括：優先級流量控制（Priority-based Flow Control, PFC）、資料中心橋交換協定（Data Center Bridging Exchange, DCBX），以及加強型傳輸選擇機制（Enhanced Transmission Selection, ETS），以確保高效能與低延遲的資料傳輸。</w:t>
            </w:r>
          </w:p>
          <w:p w14:paraId="49D86BFC"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得標廠商應提供具備完整功能之正式版本韌體，不得於日後以加價升級方式提供本案所需功能。</w:t>
            </w:r>
          </w:p>
          <w:p w14:paraId="0EB37CD7"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原廠需提供免付費之中文技術支援電話，</w:t>
            </w:r>
            <w:proofErr w:type="gramStart"/>
            <w:r>
              <w:rPr>
                <w:rFonts w:ascii="標楷體" w:eastAsia="標楷體" w:hAnsi="標楷體" w:cs="標楷體"/>
                <w:color w:val="000000"/>
              </w:rPr>
              <w:t>俾</w:t>
            </w:r>
            <w:proofErr w:type="gramEnd"/>
            <w:r>
              <w:rPr>
                <w:rFonts w:ascii="標楷體" w:eastAsia="標楷體" w:hAnsi="標楷體" w:cs="標楷體"/>
                <w:color w:val="000000"/>
              </w:rPr>
              <w:t>供日後於設定或報修等需求時，使用單位可直接獲得技術協助，無須透過系統整合商（SI）進行聯繫。</w:t>
            </w:r>
          </w:p>
          <w:p w14:paraId="16C8F2DD"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設備系統需符合EN 60950-1, EN 60825-1, EU RoHS, FCC CFR 47 Part 15, Subpart B:2009, Class A相關的安全規範、主機提供燈號(LEDs)，可顯示每一埠之工作狀態。</w:t>
            </w:r>
          </w:p>
          <w:p w14:paraId="3619C8F3"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符合標準19</w:t>
            </w:r>
            <w:proofErr w:type="gramStart"/>
            <w:r>
              <w:rPr>
                <w:rFonts w:ascii="標楷體" w:eastAsia="標楷體" w:hAnsi="標楷體" w:cs="標楷體"/>
                <w:color w:val="000000"/>
              </w:rPr>
              <w:t>吋機架式</w:t>
            </w:r>
            <w:proofErr w:type="gramEnd"/>
            <w:r>
              <w:rPr>
                <w:rFonts w:ascii="標楷體" w:eastAsia="標楷體" w:hAnsi="標楷體" w:cs="標楷體"/>
                <w:color w:val="000000"/>
              </w:rPr>
              <w:t>規格。</w:t>
            </w:r>
          </w:p>
          <w:p w14:paraId="163EE2C1"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設備主機本身須具備五年原廠7x24硬體</w:t>
            </w:r>
            <w:proofErr w:type="gramStart"/>
            <w:r>
              <w:rPr>
                <w:rFonts w:ascii="標楷體" w:eastAsia="標楷體" w:hAnsi="標楷體" w:cs="標楷體"/>
                <w:color w:val="000000"/>
              </w:rPr>
              <w:t>保固換修</w:t>
            </w:r>
            <w:proofErr w:type="gramEnd"/>
            <w:r>
              <w:rPr>
                <w:rFonts w:ascii="標楷體" w:eastAsia="標楷體" w:hAnsi="標楷體" w:cs="標楷體"/>
                <w:color w:val="000000"/>
              </w:rPr>
              <w:t>服務，並開立原廠五年保固及新品證明。</w:t>
            </w:r>
          </w:p>
          <w:p w14:paraId="058DBCBD"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得標商需提供</w:t>
            </w:r>
            <w:proofErr w:type="gramStart"/>
            <w:r>
              <w:rPr>
                <w:rFonts w:ascii="標楷體" w:eastAsia="標楷體" w:hAnsi="標楷體" w:cs="標楷體"/>
                <w:color w:val="000000"/>
              </w:rPr>
              <w:t>該案售後</w:t>
            </w:r>
            <w:proofErr w:type="gramEnd"/>
            <w:r>
              <w:rPr>
                <w:rFonts w:ascii="標楷體" w:eastAsia="標楷體" w:hAnsi="標楷體" w:cs="標楷體"/>
                <w:color w:val="000000"/>
              </w:rPr>
              <w:t>的原廠</w:t>
            </w:r>
            <w:proofErr w:type="gramStart"/>
            <w:r>
              <w:rPr>
                <w:rFonts w:ascii="標楷體" w:eastAsia="標楷體" w:hAnsi="標楷體" w:cs="標楷體"/>
                <w:color w:val="000000"/>
              </w:rPr>
              <w:t>本地(</w:t>
            </w:r>
            <w:proofErr w:type="gramEnd"/>
            <w:r>
              <w:rPr>
                <w:rFonts w:ascii="標楷體" w:eastAsia="標楷體" w:hAnsi="標楷體" w:cs="標楷體"/>
                <w:color w:val="000000"/>
              </w:rPr>
              <w:t>台灣)專案經理統一窗口之五年專案保修服務以確保</w:t>
            </w:r>
            <w:proofErr w:type="gramStart"/>
            <w:r>
              <w:rPr>
                <w:rFonts w:ascii="標楷體" w:eastAsia="標楷體" w:hAnsi="標楷體" w:cs="標楷體"/>
                <w:color w:val="000000"/>
              </w:rPr>
              <w:t>日後維</w:t>
            </w:r>
            <w:proofErr w:type="gramEnd"/>
            <w:r>
              <w:rPr>
                <w:rFonts w:ascii="標楷體" w:eastAsia="標楷體" w:hAnsi="標楷體" w:cs="標楷體"/>
                <w:color w:val="000000"/>
              </w:rPr>
              <w:t>運需求與相關技術之支援。</w:t>
            </w:r>
          </w:p>
          <w:p w14:paraId="298E6219"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本案所需配件</w:t>
            </w:r>
            <w:proofErr w:type="gramStart"/>
            <w:r>
              <w:rPr>
                <w:rFonts w:ascii="標楷體" w:eastAsia="標楷體" w:hAnsi="標楷體" w:cs="標楷體"/>
                <w:color w:val="000000"/>
              </w:rPr>
              <w:t>皆須原廠</w:t>
            </w:r>
            <w:proofErr w:type="gramEnd"/>
            <w:r>
              <w:rPr>
                <w:rFonts w:ascii="標楷體" w:eastAsia="標楷體" w:hAnsi="標楷體" w:cs="標楷體"/>
                <w:color w:val="000000"/>
              </w:rPr>
              <w:t>品牌，不可採用副廠或原廠授權之第三品牌替代交付。</w:t>
            </w:r>
          </w:p>
          <w:p w14:paraId="56561ED7" w14:textId="77777777" w:rsidR="00AA2EBB" w:rsidRDefault="00CA1C1B">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須能夠與本公司既有Core switch S5248F-ON 整合，建立Smart-fabric service for Spine and Leaf 功能以建立高效網路環境。</w:t>
            </w:r>
          </w:p>
        </w:tc>
        <w:tc>
          <w:tcPr>
            <w:tcW w:w="720" w:type="dxa"/>
            <w:tcBorders>
              <w:top w:val="single" w:sz="6" w:space="0" w:color="000000"/>
              <w:left w:val="single" w:sz="12" w:space="0" w:color="000000"/>
              <w:bottom w:val="single" w:sz="4" w:space="0" w:color="000000"/>
              <w:right w:val="single" w:sz="12" w:space="0" w:color="000000"/>
            </w:tcBorders>
          </w:tcPr>
          <w:p w14:paraId="40E9FC11" w14:textId="77777777" w:rsidR="00AA2EBB" w:rsidRDefault="00CA1C1B">
            <w:pPr>
              <w:spacing w:after="40"/>
              <w:ind w:left="239"/>
              <w:rPr>
                <w:rFonts w:ascii="標楷體" w:eastAsia="標楷體" w:hAnsi="標楷體" w:cs="標楷體"/>
              </w:rPr>
            </w:pPr>
            <w:r>
              <w:rPr>
                <w:rFonts w:ascii="標楷體" w:eastAsia="標楷體" w:hAnsi="標楷體" w:cs="標楷體"/>
              </w:rPr>
              <w:lastRenderedPageBreak/>
              <w:t xml:space="preserve">台 </w:t>
            </w:r>
          </w:p>
        </w:tc>
        <w:tc>
          <w:tcPr>
            <w:tcW w:w="750" w:type="dxa"/>
            <w:tcBorders>
              <w:top w:val="single" w:sz="6" w:space="0" w:color="000000"/>
              <w:left w:val="single" w:sz="12" w:space="0" w:color="000000"/>
              <w:bottom w:val="single" w:sz="4" w:space="0" w:color="000000"/>
              <w:right w:val="single" w:sz="12" w:space="0" w:color="000000"/>
            </w:tcBorders>
          </w:tcPr>
          <w:p w14:paraId="6B77E978"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15</w:t>
            </w:r>
          </w:p>
        </w:tc>
      </w:tr>
      <w:tr w:rsidR="00AA2EBB" w14:paraId="711127B9" w14:textId="77777777">
        <w:tc>
          <w:tcPr>
            <w:tcW w:w="750" w:type="dxa"/>
            <w:tcBorders>
              <w:top w:val="single" w:sz="6" w:space="0" w:color="000000"/>
              <w:left w:val="single" w:sz="12" w:space="0" w:color="000000"/>
              <w:right w:val="single" w:sz="12" w:space="0" w:color="000000"/>
            </w:tcBorders>
          </w:tcPr>
          <w:p w14:paraId="4E4F5E7A"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lastRenderedPageBreak/>
              <w:t>2</w:t>
            </w:r>
          </w:p>
        </w:tc>
        <w:tc>
          <w:tcPr>
            <w:tcW w:w="1110" w:type="dxa"/>
            <w:tcBorders>
              <w:top w:val="single" w:sz="6" w:space="0" w:color="000000"/>
              <w:left w:val="single" w:sz="12" w:space="0" w:color="000000"/>
              <w:bottom w:val="single" w:sz="4" w:space="0" w:color="000000"/>
              <w:right w:val="single" w:sz="12" w:space="0" w:color="000000"/>
            </w:tcBorders>
          </w:tcPr>
          <w:p w14:paraId="55E85EA3" w14:textId="77777777" w:rsidR="00AA2EBB" w:rsidRDefault="00CA1C1B">
            <w:pPr>
              <w:spacing w:after="41"/>
              <w:rPr>
                <w:rFonts w:ascii="標楷體" w:eastAsia="標楷體" w:hAnsi="標楷體" w:cs="標楷體"/>
              </w:rPr>
            </w:pPr>
            <w:r>
              <w:rPr>
                <w:rFonts w:ascii="標楷體" w:eastAsia="標楷體" w:hAnsi="標楷體" w:cs="標楷體"/>
              </w:rPr>
              <w:t>水平線路施工</w:t>
            </w:r>
          </w:p>
        </w:tc>
        <w:tc>
          <w:tcPr>
            <w:tcW w:w="6090" w:type="dxa"/>
            <w:tcBorders>
              <w:top w:val="single" w:sz="6" w:space="0" w:color="000000"/>
              <w:left w:val="single" w:sz="12" w:space="0" w:color="000000"/>
              <w:bottom w:val="single" w:sz="4" w:space="0" w:color="000000"/>
              <w:right w:val="single" w:sz="12" w:space="0" w:color="000000"/>
            </w:tcBorders>
          </w:tcPr>
          <w:p w14:paraId="4E8377C5"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8F(資訊機房內 Rack to Rack Cable Tray機櫃連接</w:t>
            </w:r>
            <w:proofErr w:type="gramStart"/>
            <w:r>
              <w:rPr>
                <w:rFonts w:ascii="標楷體" w:eastAsia="標楷體" w:hAnsi="標楷體" w:cs="標楷體"/>
                <w:color w:val="000000"/>
              </w:rPr>
              <w:t>佈</w:t>
            </w:r>
            <w:proofErr w:type="gramEnd"/>
            <w:r>
              <w:rPr>
                <w:rFonts w:ascii="標楷體" w:eastAsia="標楷體" w:hAnsi="標楷體" w:cs="標楷體"/>
                <w:color w:val="000000"/>
              </w:rPr>
              <w:t>線軌道)。</w:t>
            </w:r>
          </w:p>
          <w:p w14:paraId="24969144"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水平資訊線路施工(配合假日、夜間施工)總數量為五十六</w:t>
            </w:r>
            <w:proofErr w:type="gramStart"/>
            <w:r>
              <w:rPr>
                <w:rFonts w:ascii="標楷體" w:eastAsia="標楷體" w:hAnsi="標楷體" w:cs="標楷體"/>
                <w:color w:val="000000"/>
              </w:rPr>
              <w:t>個</w:t>
            </w:r>
            <w:proofErr w:type="gramEnd"/>
            <w:r>
              <w:rPr>
                <w:rFonts w:ascii="標楷體" w:eastAsia="標楷體" w:hAnsi="標楷體" w:cs="標楷體"/>
                <w:color w:val="000000"/>
              </w:rPr>
              <w:t>端點CAT6 4P網路線(</w:t>
            </w:r>
            <w:proofErr w:type="gramStart"/>
            <w:r>
              <w:rPr>
                <w:rFonts w:ascii="標楷體" w:eastAsia="標楷體" w:hAnsi="標楷體" w:cs="標楷體"/>
                <w:color w:val="000000"/>
              </w:rPr>
              <w:t>含短跳</w:t>
            </w:r>
            <w:proofErr w:type="gramEnd"/>
            <w:r>
              <w:rPr>
                <w:rFonts w:ascii="標楷體" w:eastAsia="標楷體" w:hAnsi="標楷體" w:cs="標楷體"/>
                <w:color w:val="000000"/>
              </w:rPr>
              <w:t>線材.網路出口.網路資訊盒</w:t>
            </w:r>
            <w:proofErr w:type="gramStart"/>
            <w:r>
              <w:rPr>
                <w:rFonts w:ascii="標楷體" w:eastAsia="標楷體" w:hAnsi="標楷體" w:cs="標楷體"/>
                <w:color w:val="000000"/>
              </w:rPr>
              <w:t>機房端線號</w:t>
            </w:r>
            <w:proofErr w:type="gramEnd"/>
            <w:r>
              <w:rPr>
                <w:rFonts w:ascii="標楷體" w:eastAsia="標楷體" w:hAnsi="標楷體" w:cs="標楷體"/>
                <w:color w:val="000000"/>
              </w:rPr>
              <w:t>標示)。</w:t>
            </w:r>
          </w:p>
          <w:p w14:paraId="3F4FA93B"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1U 24Port 模組式Panel三組。</w:t>
            </w:r>
          </w:p>
          <w:p w14:paraId="6E1C19DE"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壓條.</w:t>
            </w:r>
            <w:proofErr w:type="gramStart"/>
            <w:r>
              <w:rPr>
                <w:rFonts w:ascii="標楷體" w:eastAsia="標楷體" w:hAnsi="標楷體" w:cs="標楷體"/>
                <w:color w:val="000000"/>
              </w:rPr>
              <w:t>線槽下線含舊</w:t>
            </w:r>
            <w:proofErr w:type="gramEnd"/>
            <w:r>
              <w:rPr>
                <w:rFonts w:ascii="標楷體" w:eastAsia="標楷體" w:hAnsi="標楷體" w:cs="標楷體"/>
                <w:color w:val="000000"/>
              </w:rPr>
              <w:t>線路拆除清運。</w:t>
            </w:r>
          </w:p>
          <w:p w14:paraId="471946E5" w14:textId="77777777" w:rsidR="00AA2EBB" w:rsidRDefault="00CA1C1B">
            <w:pPr>
              <w:widowControl/>
              <w:numPr>
                <w:ilvl w:val="0"/>
                <w:numId w:val="1"/>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水平網路端點圖五十六</w:t>
            </w:r>
            <w:proofErr w:type="gramStart"/>
            <w:r>
              <w:rPr>
                <w:rFonts w:ascii="標楷體" w:eastAsia="標楷體" w:hAnsi="標楷體" w:cs="標楷體"/>
                <w:color w:val="000000"/>
              </w:rPr>
              <w:t>個</w:t>
            </w:r>
            <w:proofErr w:type="gramEnd"/>
            <w:r>
              <w:rPr>
                <w:rFonts w:ascii="標楷體" w:eastAsia="標楷體" w:hAnsi="標楷體" w:cs="標楷體"/>
                <w:color w:val="000000"/>
              </w:rPr>
              <w:t>端點、如附圖(1)。</w:t>
            </w:r>
          </w:p>
          <w:p w14:paraId="2FC192BD" w14:textId="77777777" w:rsidR="00AA2EBB" w:rsidRDefault="00CA1C1B">
            <w:pPr>
              <w:widowControl/>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noProof/>
                <w:color w:val="000000"/>
              </w:rPr>
              <w:drawing>
                <wp:inline distT="0" distB="0" distL="0" distR="0" wp14:anchorId="2E2932ED" wp14:editId="7D938084">
                  <wp:extent cx="3828415" cy="2706370"/>
                  <wp:effectExtent l="0" t="0" r="0" b="0"/>
                  <wp:docPr id="1004082163" name="image1.jpg" descr="一張含有 圖表, 方案, 寫生, 工程製圖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0" name="image1.jpg" descr="一張含有 圖表, 方案, 寫生, 工程製圖 的圖片&#10;&#10;AI 產生的內容可能不正確。"/>
                          <pic:cNvPicPr preferRelativeResize="0"/>
                        </pic:nvPicPr>
                        <pic:blipFill>
                          <a:blip r:embed="rId8"/>
                          <a:srcRect/>
                          <a:stretch>
                            <a:fillRect/>
                          </a:stretch>
                        </pic:blipFill>
                        <pic:spPr>
                          <a:xfrm>
                            <a:off x="0" y="0"/>
                            <a:ext cx="3828415" cy="2706370"/>
                          </a:xfrm>
                          <a:prstGeom prst="rect">
                            <a:avLst/>
                          </a:prstGeom>
                          <a:ln/>
                        </pic:spPr>
                      </pic:pic>
                    </a:graphicData>
                  </a:graphic>
                </wp:inline>
              </w:drawing>
            </w:r>
          </w:p>
        </w:tc>
        <w:tc>
          <w:tcPr>
            <w:tcW w:w="720" w:type="dxa"/>
            <w:tcBorders>
              <w:top w:val="single" w:sz="6" w:space="0" w:color="000000"/>
              <w:left w:val="single" w:sz="12" w:space="0" w:color="000000"/>
              <w:bottom w:val="single" w:sz="4" w:space="0" w:color="000000"/>
              <w:right w:val="single" w:sz="12" w:space="0" w:color="000000"/>
            </w:tcBorders>
          </w:tcPr>
          <w:p w14:paraId="30272471" w14:textId="77777777" w:rsidR="00AA2EBB" w:rsidRDefault="00CA1C1B">
            <w:pPr>
              <w:spacing w:after="40"/>
              <w:ind w:left="239"/>
              <w:rPr>
                <w:rFonts w:ascii="標楷體" w:eastAsia="標楷體" w:hAnsi="標楷體" w:cs="標楷體"/>
              </w:rPr>
            </w:pPr>
            <w:r>
              <w:rPr>
                <w:rFonts w:ascii="標楷體" w:eastAsia="標楷體" w:hAnsi="標楷體" w:cs="標楷體"/>
              </w:rPr>
              <w:t>式</w:t>
            </w:r>
          </w:p>
        </w:tc>
        <w:tc>
          <w:tcPr>
            <w:tcW w:w="750" w:type="dxa"/>
            <w:tcBorders>
              <w:top w:val="single" w:sz="6" w:space="0" w:color="000000"/>
              <w:left w:val="single" w:sz="12" w:space="0" w:color="000000"/>
              <w:bottom w:val="single" w:sz="4" w:space="0" w:color="000000"/>
              <w:right w:val="single" w:sz="12" w:space="0" w:color="000000"/>
            </w:tcBorders>
          </w:tcPr>
          <w:p w14:paraId="68ADDD56"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1</w:t>
            </w:r>
          </w:p>
        </w:tc>
      </w:tr>
      <w:tr w:rsidR="00AA2EBB" w14:paraId="465E0347" w14:textId="77777777">
        <w:tc>
          <w:tcPr>
            <w:tcW w:w="750" w:type="dxa"/>
            <w:tcBorders>
              <w:top w:val="single" w:sz="6" w:space="0" w:color="000000"/>
              <w:left w:val="single" w:sz="12" w:space="0" w:color="000000"/>
              <w:right w:val="single" w:sz="12" w:space="0" w:color="000000"/>
            </w:tcBorders>
          </w:tcPr>
          <w:p w14:paraId="3A2DCB3C"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3</w:t>
            </w:r>
          </w:p>
        </w:tc>
        <w:tc>
          <w:tcPr>
            <w:tcW w:w="1110" w:type="dxa"/>
            <w:tcBorders>
              <w:top w:val="single" w:sz="6" w:space="0" w:color="000000"/>
              <w:left w:val="single" w:sz="12" w:space="0" w:color="000000"/>
              <w:bottom w:val="single" w:sz="4" w:space="0" w:color="000000"/>
              <w:right w:val="single" w:sz="12" w:space="0" w:color="000000"/>
            </w:tcBorders>
          </w:tcPr>
          <w:p w14:paraId="09DA8D59" w14:textId="77777777" w:rsidR="00AA2EBB" w:rsidRDefault="00CA1C1B">
            <w:pPr>
              <w:spacing w:after="41"/>
              <w:rPr>
                <w:rFonts w:ascii="標楷體" w:eastAsia="標楷體" w:hAnsi="標楷體" w:cs="標楷體"/>
              </w:rPr>
            </w:pPr>
            <w:r>
              <w:rPr>
                <w:rFonts w:ascii="標楷體" w:eastAsia="標楷體" w:hAnsi="標楷體" w:cs="標楷體"/>
              </w:rPr>
              <w:t>垂直線路施工</w:t>
            </w:r>
          </w:p>
        </w:tc>
        <w:tc>
          <w:tcPr>
            <w:tcW w:w="6090" w:type="dxa"/>
            <w:tcBorders>
              <w:top w:val="single" w:sz="6" w:space="0" w:color="000000"/>
              <w:left w:val="single" w:sz="12" w:space="0" w:color="000000"/>
              <w:bottom w:val="single" w:sz="4" w:space="0" w:color="000000"/>
              <w:right w:val="single" w:sz="12" w:space="0" w:color="000000"/>
            </w:tcBorders>
          </w:tcPr>
          <w:p w14:paraId="206D4CED"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2樓至8樓機房OM3 12C光纖線</w:t>
            </w:r>
          </w:p>
          <w:p w14:paraId="1C2CDF6A"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3樓至8樓機房OM3 12C光纖線</w:t>
            </w:r>
          </w:p>
          <w:p w14:paraId="0083ABA5"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1U光纖收容箱*2、(</w:t>
            </w:r>
            <w:proofErr w:type="gramStart"/>
            <w:r>
              <w:rPr>
                <w:rFonts w:ascii="標楷體" w:eastAsia="標楷體" w:hAnsi="標楷體" w:cs="標楷體"/>
                <w:color w:val="000000"/>
              </w:rPr>
              <w:t>含熔接</w:t>
            </w:r>
            <w:proofErr w:type="gramEnd"/>
            <w:r>
              <w:rPr>
                <w:rFonts w:ascii="標楷體" w:eastAsia="標楷體" w:hAnsi="標楷體" w:cs="標楷體"/>
                <w:color w:val="000000"/>
              </w:rPr>
              <w:t>用相關材料設備與跳線)</w:t>
            </w:r>
          </w:p>
          <w:p w14:paraId="565C8D04"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42U機櫃(高1965*寬600*深1000)mm,</w:t>
            </w:r>
            <w:proofErr w:type="gramStart"/>
            <w:r>
              <w:rPr>
                <w:rFonts w:ascii="標楷體" w:eastAsia="標楷體" w:hAnsi="標楷體" w:cs="標楷體"/>
                <w:color w:val="000000"/>
              </w:rPr>
              <w:t>含輪總高</w:t>
            </w:r>
            <w:proofErr w:type="gramEnd"/>
            <w:r>
              <w:rPr>
                <w:rFonts w:ascii="標楷體" w:eastAsia="標楷體" w:hAnsi="標楷體" w:cs="標楷體"/>
                <w:color w:val="000000"/>
              </w:rPr>
              <w:t>2045mm(包含9孔PDU電源排插*2、</w:t>
            </w:r>
            <w:proofErr w:type="gramStart"/>
            <w:r>
              <w:rPr>
                <w:rFonts w:ascii="標楷體" w:eastAsia="標楷體" w:hAnsi="標楷體" w:cs="標楷體"/>
                <w:color w:val="000000"/>
              </w:rPr>
              <w:t>鋁制線槽</w:t>
            </w:r>
            <w:proofErr w:type="gramEnd"/>
            <w:r>
              <w:rPr>
                <w:rFonts w:ascii="標楷體" w:eastAsia="標楷體" w:hAnsi="標楷體" w:cs="標楷體"/>
                <w:color w:val="000000"/>
              </w:rPr>
              <w:t>)</w:t>
            </w:r>
          </w:p>
          <w:p w14:paraId="379AB583" w14:textId="77777777" w:rsidR="00AA2EBB" w:rsidRDefault="00CA1C1B">
            <w:pPr>
              <w:widowControl/>
              <w:numPr>
                <w:ilvl w:val="0"/>
                <w:numId w:val="2"/>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 xml:space="preserve">UPS </w:t>
            </w:r>
            <w:proofErr w:type="gramStart"/>
            <w:r>
              <w:rPr>
                <w:rFonts w:ascii="標楷體" w:eastAsia="標楷體" w:hAnsi="標楷體" w:cs="標楷體"/>
                <w:color w:val="000000"/>
              </w:rPr>
              <w:t>不</w:t>
            </w:r>
            <w:proofErr w:type="gramEnd"/>
            <w:r>
              <w:rPr>
                <w:rFonts w:ascii="標楷體" w:eastAsia="標楷體" w:hAnsi="標楷體" w:cs="標楷體"/>
                <w:color w:val="000000"/>
              </w:rPr>
              <w:t>斷電系統C-3000RN相同等級或以上</w:t>
            </w:r>
          </w:p>
        </w:tc>
        <w:tc>
          <w:tcPr>
            <w:tcW w:w="720" w:type="dxa"/>
            <w:tcBorders>
              <w:top w:val="single" w:sz="6" w:space="0" w:color="000000"/>
              <w:left w:val="single" w:sz="12" w:space="0" w:color="000000"/>
              <w:bottom w:val="single" w:sz="4" w:space="0" w:color="000000"/>
              <w:right w:val="single" w:sz="12" w:space="0" w:color="000000"/>
            </w:tcBorders>
          </w:tcPr>
          <w:p w14:paraId="4532267A" w14:textId="77777777" w:rsidR="00AA2EBB" w:rsidRDefault="00CA1C1B">
            <w:pPr>
              <w:spacing w:after="40"/>
              <w:ind w:left="239"/>
              <w:rPr>
                <w:rFonts w:ascii="標楷體" w:eastAsia="標楷體" w:hAnsi="標楷體" w:cs="標楷體"/>
              </w:rPr>
            </w:pPr>
            <w:r>
              <w:rPr>
                <w:rFonts w:ascii="標楷體" w:eastAsia="標楷體" w:hAnsi="標楷體" w:cs="標楷體"/>
              </w:rPr>
              <w:t>式</w:t>
            </w:r>
          </w:p>
        </w:tc>
        <w:tc>
          <w:tcPr>
            <w:tcW w:w="750" w:type="dxa"/>
            <w:tcBorders>
              <w:top w:val="single" w:sz="6" w:space="0" w:color="000000"/>
              <w:left w:val="single" w:sz="12" w:space="0" w:color="000000"/>
              <w:bottom w:val="single" w:sz="4" w:space="0" w:color="000000"/>
              <w:right w:val="single" w:sz="12" w:space="0" w:color="000000"/>
            </w:tcBorders>
          </w:tcPr>
          <w:p w14:paraId="2FFADF87" w14:textId="77777777" w:rsidR="00AA2EBB" w:rsidRDefault="00CA1C1B">
            <w:pPr>
              <w:spacing w:after="60"/>
              <w:ind w:left="61"/>
              <w:jc w:val="center"/>
              <w:rPr>
                <w:rFonts w:ascii="標楷體" w:eastAsia="標楷體" w:hAnsi="標楷體" w:cs="標楷體"/>
              </w:rPr>
            </w:pPr>
            <w:r>
              <w:rPr>
                <w:rFonts w:ascii="標楷體" w:eastAsia="標楷體" w:hAnsi="標楷體" w:cs="標楷體"/>
              </w:rPr>
              <w:t>1</w:t>
            </w:r>
          </w:p>
        </w:tc>
      </w:tr>
      <w:tr w:rsidR="00AA2EBB" w14:paraId="22674604" w14:textId="77777777">
        <w:tc>
          <w:tcPr>
            <w:tcW w:w="750" w:type="dxa"/>
            <w:tcBorders>
              <w:top w:val="single" w:sz="12" w:space="0" w:color="000000"/>
              <w:left w:val="single" w:sz="12" w:space="0" w:color="000000"/>
              <w:bottom w:val="single" w:sz="12" w:space="0" w:color="000000"/>
              <w:right w:val="single" w:sz="12" w:space="0" w:color="000000"/>
            </w:tcBorders>
          </w:tcPr>
          <w:p w14:paraId="1FB08E57" w14:textId="77777777" w:rsidR="00AA2EBB" w:rsidRDefault="00CA1C1B">
            <w:pPr>
              <w:ind w:left="134" w:right="13"/>
              <w:jc w:val="center"/>
              <w:rPr>
                <w:rFonts w:ascii="標楷體" w:eastAsia="標楷體" w:hAnsi="標楷體" w:cs="標楷體"/>
              </w:rPr>
            </w:pPr>
            <w:r>
              <w:rPr>
                <w:rFonts w:ascii="標楷體" w:eastAsia="標楷體" w:hAnsi="標楷體" w:cs="標楷體"/>
              </w:rPr>
              <w:t xml:space="preserve">備註 </w:t>
            </w:r>
          </w:p>
        </w:tc>
        <w:tc>
          <w:tcPr>
            <w:tcW w:w="8670" w:type="dxa"/>
            <w:gridSpan w:val="4"/>
            <w:tcBorders>
              <w:top w:val="single" w:sz="12" w:space="0" w:color="000000"/>
              <w:left w:val="single" w:sz="12" w:space="0" w:color="000000"/>
              <w:bottom w:val="single" w:sz="12" w:space="0" w:color="000000"/>
              <w:right w:val="single" w:sz="12" w:space="0" w:color="000000"/>
            </w:tcBorders>
            <w:vAlign w:val="center"/>
          </w:tcPr>
          <w:p w14:paraId="53516763"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保固及維修： </w:t>
            </w:r>
          </w:p>
          <w:p w14:paraId="74F81B40" w14:textId="4C946701"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本專案</w:t>
            </w:r>
            <w:r w:rsidR="0082086F">
              <w:rPr>
                <w:rFonts w:ascii="標楷體" w:eastAsia="標楷體" w:hAnsi="標楷體" w:cs="標楷體" w:hint="eastAsia"/>
                <w:color w:val="000000"/>
              </w:rPr>
              <w:t>網路交換器</w:t>
            </w:r>
            <w:r>
              <w:rPr>
                <w:rFonts w:ascii="標楷體" w:eastAsia="標楷體" w:hAnsi="標楷體" w:cs="標楷體"/>
                <w:color w:val="000000"/>
              </w:rPr>
              <w:t>提供</w:t>
            </w:r>
            <w:r>
              <w:rPr>
                <w:rFonts w:ascii="標楷體" w:eastAsia="標楷體" w:hAnsi="標楷體" w:cs="標楷體"/>
                <w:color w:val="FF0000"/>
              </w:rPr>
              <w:t>五</w:t>
            </w:r>
            <w:r>
              <w:rPr>
                <w:rFonts w:ascii="標楷體" w:eastAsia="標楷體" w:hAnsi="標楷體" w:cs="標楷體"/>
                <w:color w:val="000000"/>
              </w:rPr>
              <w:t>年之保固服務</w:t>
            </w:r>
            <w:r w:rsidR="0082086F">
              <w:rPr>
                <w:rFonts w:ascii="標楷體" w:eastAsia="標楷體" w:hAnsi="標楷體" w:cs="標楷體" w:hint="eastAsia"/>
                <w:color w:val="000000"/>
              </w:rPr>
              <w:t>，UPS提供一年保固</w:t>
            </w:r>
            <w:r>
              <w:rPr>
                <w:rFonts w:ascii="標楷體" w:eastAsia="標楷體" w:hAnsi="標楷體" w:cs="標楷體"/>
                <w:color w:val="000000"/>
              </w:rPr>
              <w:t>，於保固期間內提供7*24*4顧問資訊服務，免費提供顧問資訊並協助問題之排除。</w:t>
            </w:r>
            <w:r w:rsidR="00787BCD" w:rsidRPr="00DB0CC2">
              <w:rPr>
                <w:rFonts w:ascii="標楷體" w:eastAsia="標楷體" w:hAnsi="標楷體" w:cs="標楷體" w:hint="eastAsia"/>
                <w:b/>
                <w:bCs/>
                <w:color w:val="000000"/>
              </w:rPr>
              <w:t>網路交換器於保固期間提供半年保養維護與每年弱點掃描。</w:t>
            </w:r>
          </w:p>
          <w:p w14:paraId="6D3A61BB"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保固維護逾期違約以日為單位，得標廠商如未依照保固規定期限履約，應按逾期日數，每日依契約價金總額1%計算逾期違約金。</w:t>
            </w:r>
          </w:p>
          <w:p w14:paraId="73C429F5"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經維修後復原之設備，乙方必須確保原機之所有程式及連線恢復正常。 </w:t>
            </w:r>
          </w:p>
          <w:p w14:paraId="478A92EA"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如維修方式為提供替代品，則必須將送修設備中之設定資料全數移轉至替代品中，同時必須確保設備原有之服務運作正常。 </w:t>
            </w:r>
          </w:p>
          <w:p w14:paraId="2A32FF0A"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交貨：貨品為2025年以後出廠之新品，且不得為五年內EOS產品，請出具出廠證明書，並依合約完成交貨。 </w:t>
            </w:r>
          </w:p>
          <w:p w14:paraId="016EE8EB"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保固證明書：得標廠商需於交貨安裝驗收後檢附原廠連帶五年保固證明</w:t>
            </w:r>
            <w:r>
              <w:rPr>
                <w:rFonts w:ascii="標楷體" w:eastAsia="標楷體" w:hAnsi="標楷體" w:cs="標楷體"/>
                <w:color w:val="000000"/>
              </w:rPr>
              <w:lastRenderedPageBreak/>
              <w:t xml:space="preserve">書。 </w:t>
            </w:r>
          </w:p>
          <w:p w14:paraId="16EA4163"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維修服務及授權：由原廠或授權經銷商提供維修服務，若由經銷商提供，經銷商及其工程師必須具備原廠授權維修資格及認證，並於</w:t>
            </w:r>
            <w:proofErr w:type="gramStart"/>
            <w:r>
              <w:rPr>
                <w:rFonts w:ascii="標楷體" w:eastAsia="標楷體" w:hAnsi="標楷體" w:cs="標楷體"/>
                <w:color w:val="000000"/>
              </w:rPr>
              <w:t>投標時檢附</w:t>
            </w:r>
            <w:proofErr w:type="gramEnd"/>
            <w:r>
              <w:rPr>
                <w:rFonts w:ascii="標楷體" w:eastAsia="標楷體" w:hAnsi="標楷體" w:cs="標楷體"/>
                <w:color w:val="000000"/>
              </w:rPr>
              <w:t xml:space="preserve">原廠授權證明及工程師認證證照。 </w:t>
            </w:r>
          </w:p>
          <w:p w14:paraId="33DB276B"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安裝地點：本公司所屬區域指定地點。(台北市光復南路116巷7號)。</w:t>
            </w:r>
          </w:p>
          <w:p w14:paraId="7983F88A"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驗收標準</w:t>
            </w:r>
          </w:p>
          <w:p w14:paraId="56E2C553"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將本專案系統同時運作，持續7天每天24小時正常運作提供服務，以驗證全系統的穩定性。倘該期間發生任何軟硬體故障、當機、重新開機、資料流失/損毀及網路中斷等問題，則須調校後重新進行評估。</w:t>
            </w:r>
          </w:p>
          <w:p w14:paraId="54B8D4B2"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本專案應依核准後之專案執行計畫於本公司指定時間與地點進行各項效能測試，當測試結果達到測試內容之標準後，本公司始同意驗收。</w:t>
            </w:r>
          </w:p>
          <w:p w14:paraId="51C49ECF"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測試所需相關軟硬體設備由得標廠商免費提供，若得標廠商提供之軟硬體設備或服務經實測無法達到預期功能或驗收標準，需自行增補設備(含硬體及軟體)至可以順利達成為止，對此得標廠商不得要求增加契約金額。</w:t>
            </w:r>
          </w:p>
          <w:p w14:paraId="7F0D457C" w14:textId="77777777" w:rsidR="00AA2EBB" w:rsidRDefault="00CA1C1B">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驗收方式</w:t>
            </w:r>
          </w:p>
          <w:p w14:paraId="3B2FA188"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本公司將於專案執行完畢後，以計畫書中驗收條件項目與合</w:t>
            </w:r>
            <w:proofErr w:type="gramStart"/>
            <w:r>
              <w:rPr>
                <w:rFonts w:ascii="標楷體" w:eastAsia="標楷體" w:hAnsi="標楷體" w:cs="標楷體"/>
                <w:color w:val="000000"/>
              </w:rPr>
              <w:t>規</w:t>
            </w:r>
            <w:proofErr w:type="gramEnd"/>
            <w:r>
              <w:rPr>
                <w:rFonts w:ascii="標楷體" w:eastAsia="標楷體" w:hAnsi="標楷體" w:cs="標楷體"/>
                <w:color w:val="000000"/>
              </w:rPr>
              <w:t>值為依據，逐一確認是否達成，專案若包含軟硬體設備採購者，須逐一核對設備是否符合規格需求所定項目。</w:t>
            </w:r>
          </w:p>
          <w:p w14:paraId="2D549F12" w14:textId="77777777" w:rsidR="00AA2EBB" w:rsidRDefault="00CA1C1B">
            <w:pPr>
              <w:numPr>
                <w:ilvl w:val="1"/>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得標廠商需出具驗收報告書，內容包含前項所述。 </w:t>
            </w:r>
          </w:p>
        </w:tc>
      </w:tr>
    </w:tbl>
    <w:p w14:paraId="6EF5BE13" w14:textId="77777777" w:rsidR="00AA2EBB" w:rsidRDefault="00AA2EBB">
      <w:pPr>
        <w:spacing w:after="60"/>
        <w:ind w:right="2014"/>
        <w:rPr>
          <w:rFonts w:ascii="標楷體" w:eastAsia="標楷體" w:hAnsi="標楷體" w:cs="標楷體"/>
        </w:rPr>
      </w:pPr>
    </w:p>
    <w:p w14:paraId="6489C8B3" w14:textId="77777777" w:rsidR="00AA2EBB" w:rsidRDefault="00CA1C1B">
      <w:pPr>
        <w:ind w:right="2014"/>
        <w:rPr>
          <w:rFonts w:ascii="標楷體" w:eastAsia="標楷體" w:hAnsi="標楷體" w:cs="標楷體"/>
        </w:rPr>
      </w:pPr>
      <w:r>
        <w:rPr>
          <w:rFonts w:ascii="標楷體" w:eastAsia="標楷體" w:hAnsi="標楷體" w:cs="標楷體"/>
        </w:rPr>
        <w:t xml:space="preserve">投標廠商用印處  </w:t>
      </w:r>
    </w:p>
    <w:p w14:paraId="14E56727" w14:textId="77777777" w:rsidR="00AA2EBB" w:rsidRDefault="00CA1C1B">
      <w:pPr>
        <w:spacing w:line="400" w:lineRule="auto"/>
        <w:rPr>
          <w:rFonts w:ascii="標楷體" w:eastAsia="標楷體" w:hAnsi="標楷體" w:cs="標楷體"/>
        </w:rPr>
      </w:pPr>
      <w:r>
        <w:rPr>
          <w:rFonts w:ascii="標楷體" w:eastAsia="標楷體" w:hAnsi="標楷體" w:cs="標楷體"/>
        </w:rPr>
        <w:t>廠    商(蓋公司章)：</w:t>
      </w:r>
    </w:p>
    <w:p w14:paraId="3FB2FAC4" w14:textId="77777777" w:rsidR="00AA2EBB" w:rsidRDefault="00AA2EBB">
      <w:pPr>
        <w:spacing w:line="400" w:lineRule="auto"/>
        <w:rPr>
          <w:rFonts w:ascii="標楷體" w:eastAsia="標楷體" w:hAnsi="標楷體" w:cs="標楷體"/>
        </w:rPr>
      </w:pPr>
    </w:p>
    <w:p w14:paraId="504B0280" w14:textId="77777777" w:rsidR="00AA2EBB" w:rsidRDefault="00CA1C1B">
      <w:pPr>
        <w:ind w:right="2014"/>
        <w:rPr>
          <w:rFonts w:ascii="標楷體" w:eastAsia="標楷體" w:hAnsi="標楷體" w:cs="標楷體"/>
        </w:rPr>
      </w:pPr>
      <w:r>
        <w:rPr>
          <w:rFonts w:ascii="標楷體" w:eastAsia="標楷體" w:hAnsi="標楷體" w:cs="標楷體"/>
        </w:rPr>
        <w:t>負 責 人(加蓋印章)：</w:t>
      </w:r>
    </w:p>
    <w:p w14:paraId="68ABC569" w14:textId="77777777" w:rsidR="00AA2EBB" w:rsidRDefault="00CA1C1B">
      <w:pPr>
        <w:ind w:left="1487"/>
        <w:rPr>
          <w:rFonts w:ascii="標楷體" w:eastAsia="標楷體" w:hAnsi="標楷體" w:cs="標楷體"/>
        </w:rPr>
      </w:pPr>
      <w:r>
        <w:rPr>
          <w:rFonts w:ascii="標楷體" w:eastAsia="標楷體" w:hAnsi="標楷體" w:cs="標楷體"/>
        </w:rPr>
        <w:t xml:space="preserve">                                    </w:t>
      </w:r>
    </w:p>
    <w:p w14:paraId="20C12FFA" w14:textId="77777777" w:rsidR="00AA2EBB" w:rsidRDefault="00AA2EBB">
      <w:pPr>
        <w:ind w:left="1487"/>
        <w:jc w:val="both"/>
        <w:rPr>
          <w:rFonts w:ascii="標楷體" w:eastAsia="標楷體" w:hAnsi="標楷體" w:cs="標楷體"/>
        </w:rPr>
      </w:pPr>
    </w:p>
    <w:p w14:paraId="2E5A53B3" w14:textId="77777777" w:rsidR="00AA2EBB" w:rsidRDefault="00CA1C1B">
      <w:pPr>
        <w:jc w:val="both"/>
        <w:rPr>
          <w:rFonts w:ascii="標楷體" w:eastAsia="標楷體" w:hAnsi="標楷體" w:cs="標楷體"/>
        </w:rPr>
      </w:pPr>
      <w:r>
        <w:rPr>
          <w:rFonts w:ascii="標楷體" w:eastAsia="標楷體" w:hAnsi="標楷體" w:cs="標楷體"/>
        </w:rPr>
        <w:t xml:space="preserve">中華民國  年 月 日  </w:t>
      </w:r>
    </w:p>
    <w:p w14:paraId="5A49D79D" w14:textId="77777777" w:rsidR="00AA2EBB" w:rsidRDefault="00AA2EBB">
      <w:pPr>
        <w:widowControl/>
        <w:jc w:val="center"/>
        <w:rPr>
          <w:rFonts w:ascii="標楷體" w:eastAsia="標楷體" w:hAnsi="標楷體" w:cs="標楷體"/>
          <w:b/>
        </w:rPr>
      </w:pPr>
    </w:p>
    <w:sectPr w:rsidR="00AA2EBB" w:rsidSect="0053295C">
      <w:footerReference w:type="default" r:id="rId9"/>
      <w:footerReference w:type="first" r:id="rId10"/>
      <w:pgSz w:w="11906" w:h="16838"/>
      <w:pgMar w:top="1440" w:right="1274" w:bottom="1440" w:left="180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D403" w14:textId="77777777" w:rsidR="00EA1DBD" w:rsidRDefault="00EA1DBD">
      <w:r>
        <w:separator/>
      </w:r>
    </w:p>
  </w:endnote>
  <w:endnote w:type="continuationSeparator" w:id="0">
    <w:p w14:paraId="4881EDD1" w14:textId="77777777" w:rsidR="00EA1DBD" w:rsidRDefault="00EA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5677" w14:textId="77777777" w:rsidR="00AA2EBB" w:rsidRDefault="00CA1C1B">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82086F">
      <w:rPr>
        <w:noProof/>
        <w:color w:val="000000"/>
        <w:sz w:val="20"/>
        <w:szCs w:val="20"/>
      </w:rPr>
      <w:t>2</w:t>
    </w:r>
    <w:r>
      <w:rPr>
        <w:color w:val="000000"/>
        <w:sz w:val="20"/>
        <w:szCs w:val="20"/>
      </w:rPr>
      <w:fldChar w:fldCharType="end"/>
    </w:r>
  </w:p>
  <w:p w14:paraId="3F71E31B" w14:textId="77777777" w:rsidR="00AA2EBB" w:rsidRDefault="00AA2EB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68D" w14:textId="77777777" w:rsidR="00AA2EBB" w:rsidRDefault="00CA1C1B">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82086F">
      <w:rPr>
        <w:noProof/>
        <w:color w:val="000000"/>
        <w:sz w:val="20"/>
        <w:szCs w:val="20"/>
      </w:rPr>
      <w:t>1</w:t>
    </w:r>
    <w:r>
      <w:rPr>
        <w:color w:val="000000"/>
        <w:sz w:val="20"/>
        <w:szCs w:val="20"/>
      </w:rPr>
      <w:fldChar w:fldCharType="end"/>
    </w:r>
  </w:p>
  <w:p w14:paraId="1BCD41FC" w14:textId="77777777" w:rsidR="00AA2EBB" w:rsidRDefault="00AA2EB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283E" w14:textId="77777777" w:rsidR="00EA1DBD" w:rsidRDefault="00EA1DBD">
      <w:r>
        <w:separator/>
      </w:r>
    </w:p>
  </w:footnote>
  <w:footnote w:type="continuationSeparator" w:id="0">
    <w:p w14:paraId="54687035" w14:textId="77777777" w:rsidR="00EA1DBD" w:rsidRDefault="00EA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120C"/>
    <w:multiLevelType w:val="multilevel"/>
    <w:tmpl w:val="F880D0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047097"/>
    <w:multiLevelType w:val="multilevel"/>
    <w:tmpl w:val="4D32CF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D367E6"/>
    <w:multiLevelType w:val="multilevel"/>
    <w:tmpl w:val="6EA658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0545B8D"/>
    <w:multiLevelType w:val="multilevel"/>
    <w:tmpl w:val="E004B6E4"/>
    <w:lvl w:ilvl="0">
      <w:start w:val="1"/>
      <w:numFmt w:val="decimal"/>
      <w:lvlText w:val="%1、"/>
      <w:lvlJc w:val="left"/>
      <w:pPr>
        <w:ind w:left="850" w:hanging="850"/>
      </w:pPr>
    </w:lvl>
    <w:lvl w:ilvl="1">
      <w:start w:val="1"/>
      <w:numFmt w:val="decimal"/>
      <w:lvlText w:val="(%2)"/>
      <w:lvlJc w:val="left"/>
      <w:pPr>
        <w:ind w:left="1417" w:hanging="850"/>
      </w:pPr>
    </w:lvl>
    <w:lvl w:ilvl="2">
      <w:start w:val="1"/>
      <w:numFmt w:val="decimal"/>
      <w:lvlText w:val="%3、"/>
      <w:lvlJc w:val="left"/>
      <w:pPr>
        <w:ind w:left="1843" w:hanging="709"/>
      </w:pPr>
    </w:lvl>
    <w:lvl w:ilvl="3">
      <w:start w:val="1"/>
      <w:numFmt w:val="decimal"/>
      <w:lvlText w:val="(%4)"/>
      <w:lvlJc w:val="left"/>
      <w:pPr>
        <w:ind w:left="2409" w:hanging="707"/>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699"/>
      </w:pPr>
    </w:lvl>
  </w:abstractNum>
  <w:abstractNum w:abstractNumId="4" w15:restartNumberingAfterBreak="0">
    <w:nsid w:val="50FA4684"/>
    <w:multiLevelType w:val="multilevel"/>
    <w:tmpl w:val="F9D29C3E"/>
    <w:lvl w:ilvl="0">
      <w:start w:val="1"/>
      <w:numFmt w:val="decimal"/>
      <w:pStyle w:val="a"/>
      <w:lvlText w:val="%1、"/>
      <w:lvlJc w:val="left"/>
      <w:pPr>
        <w:ind w:left="850" w:hanging="850"/>
      </w:pPr>
      <w:rPr>
        <w:color w:val="000000"/>
      </w:rPr>
    </w:lvl>
    <w:lvl w:ilvl="1">
      <w:start w:val="1"/>
      <w:numFmt w:val="decimal"/>
      <w:pStyle w:val="a0"/>
      <w:lvlText w:val="(%2)"/>
      <w:lvlJc w:val="left"/>
      <w:pPr>
        <w:ind w:left="1417" w:hanging="850"/>
      </w:pPr>
    </w:lvl>
    <w:lvl w:ilvl="2">
      <w:start w:val="1"/>
      <w:numFmt w:val="decimal"/>
      <w:lvlText w:val="%3、"/>
      <w:lvlJc w:val="left"/>
      <w:pPr>
        <w:ind w:left="1843" w:hanging="709"/>
      </w:pPr>
    </w:lvl>
    <w:lvl w:ilvl="3">
      <w:start w:val="1"/>
      <w:numFmt w:val="decimal"/>
      <w:lvlText w:val="(%4)"/>
      <w:lvlJc w:val="left"/>
      <w:pPr>
        <w:ind w:left="2409" w:hanging="707"/>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699"/>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BB"/>
    <w:rsid w:val="001B7F26"/>
    <w:rsid w:val="0053295C"/>
    <w:rsid w:val="006208FC"/>
    <w:rsid w:val="00787BCD"/>
    <w:rsid w:val="0082086F"/>
    <w:rsid w:val="00A12E45"/>
    <w:rsid w:val="00A32D56"/>
    <w:rsid w:val="00AA2EBB"/>
    <w:rsid w:val="00BD0C72"/>
    <w:rsid w:val="00CA1C1B"/>
    <w:rsid w:val="00CD24CF"/>
    <w:rsid w:val="00DB0CC2"/>
    <w:rsid w:val="00EA1D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3266E"/>
  <w15:docId w15:val="{30C7C5B7-27CB-4208-9EE5-21E1E80D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uiPriority w:val="9"/>
    <w:qFormat/>
    <w:pPr>
      <w:keepNext/>
      <w:spacing w:before="180" w:after="180" w:line="720" w:lineRule="auto"/>
      <w:outlineLvl w:val="0"/>
    </w:pPr>
    <w:rPr>
      <w:rFonts w:eastAsia="Calibri"/>
      <w:b/>
      <w:sz w:val="52"/>
      <w:szCs w:val="52"/>
    </w:rPr>
  </w:style>
  <w:style w:type="paragraph" w:styleId="2">
    <w:name w:val="heading 2"/>
    <w:basedOn w:val="a1"/>
    <w:next w:val="a1"/>
    <w:uiPriority w:val="9"/>
    <w:semiHidden/>
    <w:unhideWhenUsed/>
    <w:qFormat/>
    <w:pPr>
      <w:keepNext/>
      <w:spacing w:line="720" w:lineRule="auto"/>
      <w:outlineLvl w:val="1"/>
    </w:pPr>
    <w:rPr>
      <w:rFonts w:eastAsia="Calibri"/>
      <w:b/>
      <w:sz w:val="48"/>
      <w:szCs w:val="48"/>
    </w:rPr>
  </w:style>
  <w:style w:type="paragraph" w:styleId="3">
    <w:name w:val="heading 3"/>
    <w:basedOn w:val="a1"/>
    <w:next w:val="a1"/>
    <w:uiPriority w:val="9"/>
    <w:semiHidden/>
    <w:unhideWhenUsed/>
    <w:qFormat/>
    <w:pPr>
      <w:keepNext/>
      <w:keepLines/>
      <w:spacing w:before="280" w:after="80"/>
      <w:outlineLvl w:val="2"/>
    </w:pPr>
    <w:rPr>
      <w:b/>
      <w:sz w:val="28"/>
      <w:szCs w:val="28"/>
    </w:rPr>
  </w:style>
  <w:style w:type="paragraph" w:styleId="4">
    <w:name w:val="heading 4"/>
    <w:basedOn w:val="a1"/>
    <w:next w:val="a1"/>
    <w:uiPriority w:val="9"/>
    <w:semiHidden/>
    <w:unhideWhenUsed/>
    <w:qFormat/>
    <w:pPr>
      <w:keepNext/>
      <w:keepLines/>
      <w:spacing w:before="240" w:after="40"/>
      <w:outlineLvl w:val="3"/>
    </w:pPr>
    <w:rPr>
      <w:b/>
    </w:rPr>
  </w:style>
  <w:style w:type="paragraph" w:styleId="5">
    <w:name w:val="heading 5"/>
    <w:basedOn w:val="a1"/>
    <w:next w:val="a1"/>
    <w:uiPriority w:val="9"/>
    <w:semiHidden/>
    <w:unhideWhenUsed/>
    <w:qFormat/>
    <w:pPr>
      <w:keepNext/>
      <w:keepLines/>
      <w:spacing w:before="220" w:after="40"/>
      <w:outlineLvl w:val="4"/>
    </w:pPr>
    <w:rPr>
      <w:b/>
      <w:sz w:val="22"/>
      <w:szCs w:val="22"/>
    </w:rPr>
  </w:style>
  <w:style w:type="paragraph" w:styleId="6">
    <w:name w:val="heading 6"/>
    <w:basedOn w:val="a1"/>
    <w:next w:val="a1"/>
    <w:uiPriority w:val="9"/>
    <w:semiHidden/>
    <w:unhideWhenUsed/>
    <w:qFormat/>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標題 1 字元"/>
    <w:uiPriority w:val="99"/>
    <w:locked/>
    <w:rsid w:val="00C6793B"/>
    <w:rPr>
      <w:rFonts w:ascii="Calibri Light" w:eastAsia="新細明體" w:hAnsi="Calibri Light" w:cs="Times New Roman"/>
      <w:b/>
      <w:bCs/>
      <w:kern w:val="52"/>
      <w:sz w:val="52"/>
      <w:szCs w:val="52"/>
    </w:rPr>
  </w:style>
  <w:style w:type="character" w:customStyle="1" w:styleId="20">
    <w:name w:val="標題 2 字元"/>
    <w:uiPriority w:val="99"/>
    <w:locked/>
    <w:rsid w:val="008972CC"/>
    <w:rPr>
      <w:rFonts w:ascii="Calibri Light" w:eastAsia="新細明體" w:hAnsi="Calibri Light" w:cs="Times New Roman"/>
      <w:b/>
      <w:bCs/>
      <w:sz w:val="48"/>
      <w:szCs w:val="48"/>
    </w:rPr>
  </w:style>
  <w:style w:type="paragraph" w:customStyle="1" w:styleId="Default">
    <w:name w:val="Default"/>
    <w:uiPriority w:val="99"/>
    <w:rsid w:val="00BE03E8"/>
    <w:pPr>
      <w:autoSpaceDE w:val="0"/>
      <w:autoSpaceDN w:val="0"/>
      <w:adjustRightInd w:val="0"/>
    </w:pPr>
    <w:rPr>
      <w:rFonts w:ascii="標楷體" w:eastAsia="標楷體" w:cs="標楷體"/>
      <w:color w:val="000000"/>
    </w:rPr>
  </w:style>
  <w:style w:type="paragraph" w:styleId="a6">
    <w:name w:val="header"/>
    <w:link w:val="a7"/>
    <w:uiPriority w:val="99"/>
    <w:rsid w:val="00C93617"/>
    <w:pPr>
      <w:tabs>
        <w:tab w:val="center" w:pos="4153"/>
        <w:tab w:val="right" w:pos="8306"/>
      </w:tabs>
      <w:snapToGrid w:val="0"/>
    </w:pPr>
    <w:rPr>
      <w:sz w:val="20"/>
      <w:szCs w:val="20"/>
    </w:rPr>
  </w:style>
  <w:style w:type="character" w:customStyle="1" w:styleId="a7">
    <w:name w:val="頁首 字元"/>
    <w:link w:val="a6"/>
    <w:uiPriority w:val="99"/>
    <w:locked/>
    <w:rsid w:val="00C93617"/>
    <w:rPr>
      <w:rFonts w:cs="Times New Roman"/>
      <w:sz w:val="20"/>
      <w:szCs w:val="20"/>
    </w:rPr>
  </w:style>
  <w:style w:type="paragraph" w:styleId="a8">
    <w:name w:val="footer"/>
    <w:link w:val="a9"/>
    <w:uiPriority w:val="99"/>
    <w:rsid w:val="00C93617"/>
    <w:pPr>
      <w:tabs>
        <w:tab w:val="center" w:pos="4153"/>
        <w:tab w:val="right" w:pos="8306"/>
      </w:tabs>
      <w:snapToGrid w:val="0"/>
    </w:pPr>
    <w:rPr>
      <w:sz w:val="20"/>
      <w:szCs w:val="20"/>
    </w:rPr>
  </w:style>
  <w:style w:type="character" w:customStyle="1" w:styleId="a9">
    <w:name w:val="頁尾 字元"/>
    <w:link w:val="a8"/>
    <w:uiPriority w:val="99"/>
    <w:locked/>
    <w:rsid w:val="00C93617"/>
    <w:rPr>
      <w:rFonts w:cs="Times New Roman"/>
      <w:sz w:val="20"/>
      <w:szCs w:val="20"/>
    </w:rPr>
  </w:style>
  <w:style w:type="paragraph" w:styleId="aa">
    <w:name w:val="List Paragraph"/>
    <w:uiPriority w:val="99"/>
    <w:qFormat/>
    <w:rsid w:val="000269DC"/>
    <w:pPr>
      <w:ind w:leftChars="200" w:left="480"/>
    </w:pPr>
  </w:style>
  <w:style w:type="paragraph" w:styleId="ab">
    <w:name w:val="Normal Indent"/>
    <w:uiPriority w:val="99"/>
    <w:semiHidden/>
    <w:rsid w:val="00C416EA"/>
    <w:pPr>
      <w:ind w:left="1800" w:hanging="541"/>
    </w:pPr>
    <w:rPr>
      <w:rFonts w:ascii="Times New Roman" w:hAnsi="Times New Roman"/>
      <w:szCs w:val="20"/>
    </w:rPr>
  </w:style>
  <w:style w:type="paragraph" w:styleId="ac">
    <w:name w:val="No Spacing"/>
    <w:uiPriority w:val="99"/>
    <w:qFormat/>
    <w:rsid w:val="00755F7D"/>
    <w:rPr>
      <w:kern w:val="2"/>
      <w:szCs w:val="22"/>
    </w:rPr>
  </w:style>
  <w:style w:type="paragraph" w:customStyle="1" w:styleId="a">
    <w:name w:val="項目標題"/>
    <w:next w:val="a0"/>
    <w:link w:val="ad"/>
    <w:autoRedefine/>
    <w:uiPriority w:val="99"/>
    <w:rsid w:val="00D47E4F"/>
    <w:pPr>
      <w:numPr>
        <w:numId w:val="4"/>
      </w:numPr>
      <w:spacing w:beforeLines="50" w:afterLines="50" w:line="240" w:lineRule="atLeast"/>
      <w:ind w:left="482" w:rightChars="-89" w:right="-214" w:hanging="482"/>
      <w:outlineLvl w:val="0"/>
    </w:pPr>
    <w:rPr>
      <w:rFonts w:ascii="標楷體" w:eastAsia="標楷體" w:hAnsi="標楷體"/>
      <w:b/>
      <w:bCs/>
      <w:sz w:val="36"/>
      <w:szCs w:val="28"/>
    </w:rPr>
  </w:style>
  <w:style w:type="paragraph" w:customStyle="1" w:styleId="a0">
    <w:name w:val="項目"/>
    <w:link w:val="ae"/>
    <w:autoRedefine/>
    <w:uiPriority w:val="99"/>
    <w:rsid w:val="00B033D5"/>
    <w:pPr>
      <w:numPr>
        <w:ilvl w:val="1"/>
        <w:numId w:val="4"/>
      </w:numPr>
      <w:spacing w:line="240" w:lineRule="atLeast"/>
      <w:outlineLvl w:val="1"/>
    </w:pPr>
    <w:rPr>
      <w:rFonts w:ascii="Times New Roman" w:eastAsia="標楷體" w:hAnsi="Times New Roman"/>
      <w:sz w:val="28"/>
    </w:rPr>
  </w:style>
  <w:style w:type="character" w:customStyle="1" w:styleId="ad">
    <w:name w:val="項目標題 字元"/>
    <w:link w:val="a"/>
    <w:uiPriority w:val="99"/>
    <w:locked/>
    <w:rsid w:val="00D47E4F"/>
    <w:rPr>
      <w:rFonts w:ascii="標楷體" w:eastAsia="標楷體" w:hAnsi="標楷體" w:cs="Times New Roman"/>
      <w:b/>
      <w:bCs/>
      <w:kern w:val="2"/>
      <w:sz w:val="28"/>
      <w:szCs w:val="28"/>
      <w:lang w:val="en-US" w:eastAsia="zh-TW" w:bidi="ar-SA"/>
    </w:rPr>
  </w:style>
  <w:style w:type="character" w:customStyle="1" w:styleId="ae">
    <w:name w:val="項目 字元"/>
    <w:link w:val="a0"/>
    <w:uiPriority w:val="99"/>
    <w:locked/>
    <w:rsid w:val="00B033D5"/>
    <w:rPr>
      <w:rFonts w:eastAsia="標楷體" w:cs="Times New Roman"/>
      <w:sz w:val="22"/>
      <w:szCs w:val="22"/>
      <w:lang w:val="en-US" w:eastAsia="zh-TW" w:bidi="ar-SA"/>
    </w:rPr>
  </w:style>
  <w:style w:type="paragraph" w:styleId="af">
    <w:name w:val="Balloon Text"/>
    <w:link w:val="af0"/>
    <w:uiPriority w:val="99"/>
    <w:semiHidden/>
    <w:rsid w:val="004371B4"/>
    <w:rPr>
      <w:rFonts w:ascii="Calibri Light" w:hAnsi="Calibri Light"/>
      <w:sz w:val="18"/>
      <w:szCs w:val="18"/>
    </w:rPr>
  </w:style>
  <w:style w:type="character" w:customStyle="1" w:styleId="af0">
    <w:name w:val="註解方塊文字 字元"/>
    <w:link w:val="af"/>
    <w:uiPriority w:val="99"/>
    <w:semiHidden/>
    <w:locked/>
    <w:rsid w:val="004371B4"/>
    <w:rPr>
      <w:rFonts w:ascii="Calibri Light" w:eastAsia="新細明體" w:hAnsi="Calibri Light" w:cs="Times New Roman"/>
      <w:sz w:val="18"/>
      <w:szCs w:val="18"/>
    </w:rPr>
  </w:style>
  <w:style w:type="table" w:customStyle="1" w:styleId="TableGrid">
    <w:name w:val="TableGrid"/>
    <w:rsid w:val="00C054DA"/>
    <w:rPr>
      <w:kern w:val="2"/>
      <w:szCs w:val="22"/>
    </w:rPr>
    <w:tblPr>
      <w:tblCellMar>
        <w:top w:w="0" w:type="dxa"/>
        <w:left w:w="0" w:type="dxa"/>
        <w:bottom w:w="0" w:type="dxa"/>
        <w:right w:w="0" w:type="dxa"/>
      </w:tblCellMar>
    </w:tblPr>
  </w:style>
  <w:style w:type="paragraph" w:styleId="Web">
    <w:name w:val="Normal (Web)"/>
    <w:uiPriority w:val="99"/>
    <w:semiHidden/>
    <w:unhideWhenUsed/>
    <w:rsid w:val="00723CB1"/>
    <w:pPr>
      <w:widowControl/>
      <w:spacing w:before="100" w:beforeAutospacing="1" w:after="100" w:afterAutospacing="1"/>
    </w:pPr>
    <w:rPr>
      <w:rFonts w:ascii="新細明體" w:hAnsi="新細明體" w:cs="新細明體"/>
    </w:rPr>
  </w:style>
  <w:style w:type="character" w:customStyle="1" w:styleId="qowt-font3-dfkaisb">
    <w:name w:val="qowt-font3-dfkaisb"/>
    <w:basedOn w:val="a2"/>
    <w:rsid w:val="00F252F6"/>
  </w:style>
  <w:style w:type="character" w:customStyle="1" w:styleId="qowt-font2">
    <w:name w:val="qowt-font2"/>
    <w:basedOn w:val="a2"/>
    <w:rsid w:val="00C714BB"/>
  </w:style>
  <w:style w:type="table" w:customStyle="1" w:styleId="af1">
    <w:basedOn w:val="TableNormal0"/>
    <w:tblPr>
      <w:tblStyleRowBandSize w:val="1"/>
      <w:tblStyleColBandSize w:val="1"/>
      <w:tblCellMar>
        <w:top w:w="46" w:type="dxa"/>
        <w:right w:w="61" w:type="dxa"/>
      </w:tblCellMar>
    </w:tblPr>
  </w:style>
  <w:style w:type="numbering" w:customStyle="1" w:styleId="CTS">
    <w:name w:val="CTS文件"/>
    <w:uiPriority w:val="99"/>
    <w:rsid w:val="00511CFC"/>
  </w:style>
  <w:style w:type="table" w:styleId="af2">
    <w:name w:val="Table Grid"/>
    <w:basedOn w:val="a3"/>
    <w:uiPriority w:val="39"/>
    <w:rsid w:val="0022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top w:w="46" w:type="dxa"/>
        <w:right w:w="6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6FYHAfTxg9BpK33xmQ0sBv0qg==">CgMxLjA4AHIhMVE1bG9FdHlYUkVWRkpSdHYyMkYtRkRhM1g5ZFRtc0hw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Chi-Chen Lin</dc:creator>
  <cp:lastModifiedBy>光隆 陳</cp:lastModifiedBy>
  <cp:revision>2</cp:revision>
  <dcterms:created xsi:type="dcterms:W3CDTF">2025-09-03T07:31:00Z</dcterms:created>
  <dcterms:modified xsi:type="dcterms:W3CDTF">2025-09-03T07:31:00Z</dcterms:modified>
</cp:coreProperties>
</file>