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80" w:rsidRDefault="00133B80">
      <w:pPr>
        <w:spacing w:after="229" w:line="259" w:lineRule="auto"/>
        <w:ind w:left="0" w:firstLine="0"/>
        <w:jc w:val="center"/>
      </w:pPr>
      <w:bookmarkStart w:id="0" w:name="_GoBack"/>
      <w:bookmarkEnd w:id="0"/>
      <w:r>
        <w:rPr>
          <w:rFonts w:hint="eastAsia"/>
        </w:rPr>
        <w:t>招標案號：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spacing w:after="307"/>
        <w:ind w:left="4054" w:right="1625" w:hanging="1649"/>
      </w:pPr>
      <w:r>
        <w:rPr>
          <w:rFonts w:ascii="Times New Roman" w:hAnsi="Times New Roman" w:cs="Times New Roman"/>
        </w:rPr>
        <w:t xml:space="preserve">110 </w:t>
      </w:r>
      <w:r w:rsidR="00EF789D">
        <w:rPr>
          <w:rFonts w:hint="eastAsia"/>
        </w:rPr>
        <w:t>年度華視</w:t>
      </w:r>
      <w:proofErr w:type="gramStart"/>
      <w:r w:rsidR="00EF789D">
        <w:rPr>
          <w:rFonts w:hint="eastAsia"/>
        </w:rPr>
        <w:t>新聞台梳化妝</w:t>
      </w:r>
      <w:proofErr w:type="gramEnd"/>
      <w:r>
        <w:rPr>
          <w:rFonts w:hint="eastAsia"/>
        </w:rPr>
        <w:t>採購</w:t>
      </w:r>
      <w:r>
        <w:rPr>
          <w:rFonts w:hint="eastAsia"/>
          <w:u w:val="single" w:color="000000"/>
        </w:rPr>
        <w:t>徵案說明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spacing w:after="234"/>
        <w:ind w:right="0"/>
      </w:pPr>
      <w:r>
        <w:rPr>
          <w:rFonts w:hint="eastAsia"/>
        </w:rPr>
        <w:t>壹、採購標的物名稱：</w:t>
      </w:r>
      <w:r>
        <w:rPr>
          <w:rFonts w:ascii="Times New Roman" w:hAnsi="Times New Roman" w:cs="Times New Roman"/>
        </w:rPr>
        <w:t xml:space="preserve"> 110 </w:t>
      </w:r>
      <w:r w:rsidR="00EF789D">
        <w:rPr>
          <w:rFonts w:hint="eastAsia"/>
        </w:rPr>
        <w:t>年度華視</w:t>
      </w:r>
      <w:proofErr w:type="gramStart"/>
      <w:r w:rsidR="00EF789D">
        <w:rPr>
          <w:rFonts w:hint="eastAsia"/>
        </w:rPr>
        <w:t>新聞台梳化妝</w:t>
      </w:r>
      <w:proofErr w:type="gramEnd"/>
      <w:r>
        <w:rPr>
          <w:rFonts w:hint="eastAsia"/>
        </w:rPr>
        <w:t>採購案</w:t>
      </w:r>
      <w:r>
        <w:rPr>
          <w:rFonts w:ascii="Times New Roman" w:hAnsi="Times New Roman" w:cs="Times New Roman"/>
        </w:rPr>
        <w:t xml:space="preserve"> </w:t>
      </w:r>
    </w:p>
    <w:p w:rsidR="00EF789D" w:rsidRDefault="00133B80">
      <w:pPr>
        <w:spacing w:after="43"/>
        <w:ind w:left="511" w:right="0" w:hanging="511"/>
      </w:pPr>
      <w:r>
        <w:rPr>
          <w:rFonts w:hint="eastAsia"/>
        </w:rPr>
        <w:t>貳、投標廠商應準備投標文件一式（</w:t>
      </w:r>
      <w:r>
        <w:rPr>
          <w:rFonts w:hint="eastAsia"/>
          <w:u w:val="single" w:color="000000"/>
        </w:rPr>
        <w:t>另加備「計畫書」七份</w:t>
      </w:r>
      <w:r>
        <w:rPr>
          <w:rFonts w:hint="eastAsia"/>
        </w:rPr>
        <w:t>，一併送交</w:t>
      </w:r>
      <w:r w:rsidR="00FA45AF">
        <w:rPr>
          <w:rFonts w:hint="eastAsia"/>
        </w:rPr>
        <w:t>中華電視股份有限公司行服</w:t>
      </w:r>
      <w:r>
        <w:rPr>
          <w:rFonts w:hint="eastAsia"/>
        </w:rPr>
        <w:t>部），每份投標文件應包括下列內容：</w:t>
      </w:r>
    </w:p>
    <w:p w:rsidR="00133B80" w:rsidRDefault="00EF789D">
      <w:pPr>
        <w:spacing w:after="43"/>
        <w:ind w:left="511" w:right="0" w:hanging="511"/>
      </w:pPr>
      <w:r>
        <w:rPr>
          <w:rFonts w:hint="eastAsia"/>
        </w:rPr>
        <w:t xml:space="preserve">    </w:t>
      </w:r>
      <w:r w:rsidR="00133B80">
        <w:rPr>
          <w:rFonts w:hint="eastAsia"/>
        </w:rPr>
        <w:t>一、投標廠商之資格文件（詳</w:t>
      </w:r>
      <w:r>
        <w:rPr>
          <w:rFonts w:hint="eastAsia"/>
        </w:rPr>
        <w:t>見</w:t>
      </w:r>
      <w:r w:rsidRPr="00EF789D">
        <w:t>110 年度華視新聞台梳化妝採購案契約書</w:t>
      </w:r>
      <w:r w:rsidR="00133B80">
        <w:rPr>
          <w:rFonts w:hint="eastAsia"/>
        </w:rPr>
        <w:t>）。</w:t>
      </w:r>
      <w:r w:rsidR="00133B80">
        <w:rPr>
          <w:rFonts w:ascii="Times New Roman" w:hAnsi="Times New Roman" w:cs="Times New Roman"/>
        </w:rPr>
        <w:t xml:space="preserve"> </w:t>
      </w:r>
    </w:p>
    <w:p w:rsidR="00133B80" w:rsidRDefault="00EF789D">
      <w:pPr>
        <w:spacing w:after="279"/>
        <w:ind w:left="521" w:right="0"/>
      </w:pPr>
      <w:r>
        <w:rPr>
          <w:rFonts w:hint="eastAsia"/>
        </w:rPr>
        <w:t>二、投標廠商之「計畫書」與「總標價單」</w:t>
      </w:r>
      <w:r w:rsidR="00133B80">
        <w:rPr>
          <w:rFonts w:ascii="Times New Roman" w:hAnsi="Times New Roman" w:cs="Times New Roman"/>
        </w:rPr>
        <w:t xml:space="preserve"> </w:t>
      </w:r>
    </w:p>
    <w:p w:rsidR="00133B80" w:rsidRDefault="00133B80">
      <w:pPr>
        <w:spacing w:after="188" w:line="350" w:lineRule="auto"/>
        <w:ind w:left="358" w:right="0" w:hanging="358"/>
      </w:pPr>
      <w:r>
        <w:rPr>
          <w:rFonts w:hint="eastAsia"/>
        </w:rPr>
        <w:t>參、履約期限：</w:t>
      </w:r>
      <w:r>
        <w:rPr>
          <w:rFonts w:ascii="Times New Roman" w:hAnsi="Times New Roman" w:cs="Times New Roman"/>
        </w:rPr>
        <w:t xml:space="preserve">110 </w:t>
      </w:r>
      <w:r>
        <w:rPr>
          <w:rFonts w:hint="eastAsia"/>
        </w:rPr>
        <w:t>年</w:t>
      </w:r>
      <w:r>
        <w:t xml:space="preserve"> </w:t>
      </w:r>
      <w:r w:rsidR="006F255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ascii="Times New Roman" w:hAnsi="Times New Roman" w:cs="Times New Roman"/>
        </w:rPr>
        <w:t xml:space="preserve">01 </w:t>
      </w:r>
      <w:r>
        <w:rPr>
          <w:rFonts w:hint="eastAsia"/>
        </w:rPr>
        <w:t>日至</w:t>
      </w:r>
      <w:r>
        <w:t xml:space="preserve"> </w:t>
      </w:r>
      <w:r>
        <w:rPr>
          <w:rFonts w:ascii="Times New Roman" w:hAnsi="Times New Roman" w:cs="Times New Roman"/>
        </w:rPr>
        <w:t xml:space="preserve">111 </w:t>
      </w:r>
      <w:r>
        <w:rPr>
          <w:rFonts w:hint="eastAsia"/>
        </w:rPr>
        <w:t>年</w:t>
      </w:r>
      <w:r>
        <w:t xml:space="preserve"> </w:t>
      </w:r>
      <w:r w:rsidR="006F2552"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月</w:t>
      </w:r>
      <w:r>
        <w:t xml:space="preserve"> </w:t>
      </w:r>
      <w:r w:rsidR="00EF789D">
        <w:rPr>
          <w:rFonts w:ascii="Times New Roman" w:hAnsi="Times New Roman" w:cs="Times New Roman"/>
        </w:rPr>
        <w:t>3</w:t>
      </w:r>
      <w:r w:rsidR="006F255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 </w:t>
      </w:r>
      <w:r w:rsidR="000A2E54">
        <w:rPr>
          <w:rFonts w:hint="eastAsia"/>
        </w:rPr>
        <w:t>日，共計一</w:t>
      </w:r>
      <w:r>
        <w:rPr>
          <w:rFonts w:hint="eastAsia"/>
        </w:rPr>
        <w:t>年。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right="0"/>
      </w:pPr>
      <w:r>
        <w:rPr>
          <w:rFonts w:hint="eastAsia"/>
        </w:rPr>
        <w:t>肆、規格需求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1"/>
        </w:numPr>
        <w:ind w:right="0" w:hanging="540"/>
      </w:pPr>
      <w:r>
        <w:rPr>
          <w:rFonts w:hint="eastAsia"/>
        </w:rPr>
        <w:t>詳如</w:t>
      </w:r>
      <w:r w:rsidR="00EF789D">
        <w:rPr>
          <w:rFonts w:hint="eastAsia"/>
        </w:rPr>
        <w:t>「</w:t>
      </w:r>
      <w:r w:rsidR="00EF789D" w:rsidRPr="00EF789D">
        <w:t>110 年度華視</w:t>
      </w:r>
      <w:proofErr w:type="gramStart"/>
      <w:r w:rsidR="00EF789D" w:rsidRPr="00EF789D">
        <w:t>新聞台梳化妝</w:t>
      </w:r>
      <w:proofErr w:type="gramEnd"/>
      <w:r w:rsidR="00EF789D" w:rsidRPr="00EF789D">
        <w:t>採購案契約書</w:t>
      </w:r>
      <w:r w:rsidR="00EF789D">
        <w:rPr>
          <w:rFonts w:hint="eastAsia"/>
        </w:rPr>
        <w:t>」</w:t>
      </w:r>
      <w:r>
        <w:rPr>
          <w:rFonts w:hint="eastAsia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1"/>
        </w:numPr>
        <w:spacing w:after="70"/>
        <w:ind w:right="0" w:hanging="540"/>
      </w:pPr>
      <w:r>
        <w:rPr>
          <w:rFonts w:hint="eastAsia"/>
        </w:rPr>
        <w:t>其他：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1"/>
        </w:numPr>
        <w:spacing w:after="45"/>
        <w:ind w:right="0" w:hanging="480"/>
      </w:pPr>
      <w:r>
        <w:rPr>
          <w:rFonts w:hint="eastAsia"/>
        </w:rPr>
        <w:t>得標廠商之執行計畫書，須經本</w:t>
      </w:r>
      <w:r w:rsidR="00FA45AF">
        <w:rPr>
          <w:rFonts w:hint="eastAsia"/>
        </w:rPr>
        <w:t>評選委員會</w:t>
      </w:r>
      <w:r>
        <w:rPr>
          <w:rFonts w:hint="eastAsia"/>
        </w:rPr>
        <w:t>議定，並由華視新聞台監督執行，並配合進行相關簡報。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1"/>
        </w:numPr>
        <w:spacing w:after="235"/>
        <w:ind w:right="0" w:hanging="480"/>
      </w:pPr>
      <w:r>
        <w:rPr>
          <w:rFonts w:hint="eastAsia"/>
        </w:rPr>
        <w:t>廠商得依專業提出其他附加</w:t>
      </w:r>
      <w:proofErr w:type="gramStart"/>
      <w:r>
        <w:rPr>
          <w:rFonts w:hint="eastAsia"/>
        </w:rPr>
        <w:t>加</w:t>
      </w:r>
      <w:proofErr w:type="gramEnd"/>
      <w:r>
        <w:rPr>
          <w:rFonts w:hint="eastAsia"/>
        </w:rPr>
        <w:t>值服務，並應在計畫書內說明。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right="0"/>
      </w:pPr>
      <w:r>
        <w:rPr>
          <w:rFonts w:hint="eastAsia"/>
        </w:rPr>
        <w:t>伍、「計畫書」製作：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 w:rsidP="00EF789D">
      <w:pPr>
        <w:numPr>
          <w:ilvl w:val="0"/>
          <w:numId w:val="2"/>
        </w:numPr>
        <w:spacing w:after="0" w:line="359" w:lineRule="auto"/>
        <w:ind w:right="0" w:hanging="540"/>
      </w:pPr>
      <w:r>
        <w:rPr>
          <w:rFonts w:hint="eastAsia"/>
        </w:rPr>
        <w:t>投標廠商應依本案招標規範內容與規定</w:t>
      </w:r>
      <w:r w:rsidR="00EF789D">
        <w:rPr>
          <w:rFonts w:hint="eastAsia"/>
        </w:rPr>
        <w:t>（詳見</w:t>
      </w:r>
      <w:r w:rsidR="00EF789D" w:rsidRPr="00EF789D">
        <w:t>110 年度華視新聞台梳化妝採購案契約書</w:t>
      </w:r>
      <w:r w:rsidR="00EF789D">
        <w:rPr>
          <w:rFonts w:hint="eastAsia"/>
        </w:rPr>
        <w:t>）</w:t>
      </w:r>
      <w:r>
        <w:rPr>
          <w:rFonts w:hint="eastAsia"/>
        </w:rPr>
        <w:t>，以及所列評選項目</w:t>
      </w:r>
      <w:r>
        <w:rPr>
          <w:rFonts w:ascii="Times New Roman" w:hAnsi="Times New Roman" w:cs="Times New Roman"/>
        </w:rPr>
        <w:t>(</w:t>
      </w:r>
      <w:r w:rsidR="00EF789D" w:rsidRPr="00EF789D">
        <w:rPr>
          <w:rFonts w:hint="eastAsia"/>
        </w:rPr>
        <w:t>評選會議說明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，備妥相關資料與「計畫書」，以供評選。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2"/>
        </w:numPr>
        <w:ind w:right="0" w:hanging="540"/>
      </w:pPr>
      <w:r>
        <w:rPr>
          <w:rFonts w:hint="eastAsia"/>
        </w:rPr>
        <w:t>製作格式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2"/>
        </w:numPr>
        <w:spacing w:after="0" w:line="363" w:lineRule="auto"/>
        <w:ind w:right="0" w:hanging="360"/>
      </w:pPr>
      <w:r>
        <w:rPr>
          <w:rFonts w:hint="eastAsia"/>
        </w:rPr>
        <w:t>格式：主要內容以</w:t>
      </w:r>
      <w:r>
        <w:t xml:space="preserve"> </w:t>
      </w:r>
      <w:r>
        <w:rPr>
          <w:rFonts w:ascii="Times New Roman" w:hAnsi="Times New Roman" w:cs="Times New Roman"/>
        </w:rPr>
        <w:t xml:space="preserve">A4 </w:t>
      </w:r>
      <w:proofErr w:type="gramStart"/>
      <w:r>
        <w:rPr>
          <w:rFonts w:hint="eastAsia"/>
        </w:rPr>
        <w:t>紙直式橫</w:t>
      </w:r>
      <w:proofErr w:type="gramEnd"/>
      <w:r>
        <w:rPr>
          <w:rFonts w:hint="eastAsia"/>
        </w:rPr>
        <w:t>書，並加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目錄及頁碼，如有調查結構、研究流程等相關內容時，可改用其他規格摺疊為</w:t>
      </w:r>
      <w:r>
        <w:t xml:space="preserve"> </w:t>
      </w:r>
      <w:r>
        <w:rPr>
          <w:rFonts w:ascii="Times New Roman" w:hAnsi="Times New Roman" w:cs="Times New Roman"/>
        </w:rPr>
        <w:t xml:space="preserve">A4 </w:t>
      </w:r>
      <w:r>
        <w:rPr>
          <w:rFonts w:hint="eastAsia"/>
        </w:rPr>
        <w:t>大小。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封面：「</w:t>
      </w:r>
      <w:r>
        <w:rPr>
          <w:rFonts w:ascii="Times New Roman" w:hAnsi="Times New Roman" w:cs="Times New Roman"/>
        </w:rPr>
        <w:t xml:space="preserve">110 </w:t>
      </w:r>
      <w:r w:rsidR="00EF789D">
        <w:rPr>
          <w:rFonts w:hint="eastAsia"/>
        </w:rPr>
        <w:t>年度華視</w:t>
      </w:r>
      <w:proofErr w:type="gramStart"/>
      <w:r w:rsidR="00EF789D">
        <w:rPr>
          <w:rFonts w:hint="eastAsia"/>
        </w:rPr>
        <w:t>新聞台梳化妝</w:t>
      </w:r>
      <w:proofErr w:type="gramEnd"/>
      <w:r>
        <w:rPr>
          <w:rFonts w:hint="eastAsia"/>
        </w:rPr>
        <w:t>採購案」計畫書。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左側裝訂（即書本形式）。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彩色或黑白印刷不拘，以能表現內容為原則。</w:t>
      </w:r>
      <w:r>
        <w:rPr>
          <w:rFonts w:ascii="Times New Roman" w:hAnsi="Times New Roman" w:cs="Times New Roman"/>
        </w:rPr>
        <w:t xml:space="preserve">  </w:t>
      </w:r>
    </w:p>
    <w:p w:rsidR="00133B80" w:rsidRDefault="00133B80">
      <w:pPr>
        <w:numPr>
          <w:ilvl w:val="0"/>
          <w:numId w:val="2"/>
        </w:numPr>
        <w:ind w:right="0" w:hanging="540"/>
      </w:pPr>
      <w:r>
        <w:rPr>
          <w:rFonts w:hint="eastAsia"/>
        </w:rPr>
        <w:t>計畫書內容應包括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1.</w:t>
      </w:r>
      <w:r>
        <w:rPr>
          <w:rFonts w:hint="eastAsia"/>
        </w:rPr>
        <w:t>廠商簡介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2.</w:t>
      </w:r>
      <w:r>
        <w:rPr>
          <w:rFonts w:hint="eastAsia"/>
        </w:rPr>
        <w:t>團隊組成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團隊人員素質、經驗及實績</w:t>
      </w:r>
      <w:r>
        <w:rPr>
          <w:rFonts w:ascii="Times New Roman" w:hAnsi="Times New Roman" w:cs="Times New Roman"/>
        </w:rPr>
        <w:t xml:space="preserve">)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>提供服務項目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包含：符合</w:t>
      </w:r>
      <w:r>
        <w:t xml:space="preserve"> </w:t>
      </w:r>
      <w:r>
        <w:rPr>
          <w:rFonts w:ascii="Times New Roman" w:hAnsi="Times New Roman" w:cs="Times New Roman"/>
        </w:rPr>
        <w:t xml:space="preserve">HD </w:t>
      </w:r>
      <w:r>
        <w:rPr>
          <w:rFonts w:hint="eastAsia"/>
        </w:rPr>
        <w:t>攝影棚錄製</w:t>
      </w:r>
      <w:proofErr w:type="gramStart"/>
      <w:r>
        <w:rPr>
          <w:rFonts w:hint="eastAsia"/>
        </w:rPr>
        <w:t>標準的梳化妝</w:t>
      </w:r>
      <w:proofErr w:type="gramEnd"/>
      <w:r>
        <w:rPr>
          <w:rFonts w:hint="eastAsia"/>
        </w:rPr>
        <w:t>用品、技術與服務</w:t>
      </w:r>
      <w:r>
        <w:rPr>
          <w:rFonts w:ascii="Times New Roman" w:hAnsi="Times New Roman" w:cs="Times New Roman"/>
        </w:rPr>
        <w:t xml:space="preserve">)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4.</w:t>
      </w:r>
      <w:r>
        <w:rPr>
          <w:rFonts w:hint="eastAsia"/>
        </w:rPr>
        <w:t>服務執行與規劃、確定可租借服裝的廠商明細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5.</w:t>
      </w:r>
      <w:proofErr w:type="gramStart"/>
      <w:r>
        <w:rPr>
          <w:rFonts w:hint="eastAsia"/>
        </w:rPr>
        <w:t>梳化造型</w:t>
      </w:r>
      <w:proofErr w:type="gramEnd"/>
      <w:r>
        <w:rPr>
          <w:rFonts w:hint="eastAsia"/>
        </w:rPr>
        <w:t>、服務分工及人力配置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lastRenderedPageBreak/>
        <w:t>6.</w:t>
      </w:r>
      <w:r>
        <w:rPr>
          <w:rFonts w:hint="eastAsia"/>
        </w:rPr>
        <w:t>預算經費明細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7.</w:t>
      </w:r>
      <w:r>
        <w:rPr>
          <w:rFonts w:hint="eastAsia"/>
        </w:rPr>
        <w:t>預期成果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ascii="Times New Roman" w:hAnsi="Times New Roman" w:cs="Times New Roman"/>
        </w:rPr>
        <w:t>8.</w:t>
      </w:r>
      <w:r>
        <w:rPr>
          <w:rFonts w:hint="eastAsia"/>
        </w:rPr>
        <w:t>相關經驗與實績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spacing w:after="252"/>
        <w:ind w:right="0"/>
      </w:pPr>
      <w:r>
        <w:rPr>
          <w:rFonts w:hint="eastAsia"/>
        </w:rPr>
        <w:t>陸、報價：幣別以新台幣報價，並含</w:t>
      </w:r>
      <w:r>
        <w:t xml:space="preserve"> </w:t>
      </w:r>
      <w:r>
        <w:rPr>
          <w:rFonts w:ascii="Times New Roman" w:hAnsi="Times New Roman" w:cs="Times New Roman"/>
        </w:rPr>
        <w:t>5%</w:t>
      </w:r>
      <w:r>
        <w:rPr>
          <w:rFonts w:hint="eastAsia"/>
        </w:rPr>
        <w:t>營業稅。</w:t>
      </w:r>
      <w:r>
        <w:rPr>
          <w:rFonts w:ascii="Times New Roman" w:hAnsi="Times New Roman" w:cs="Times New Roman"/>
        </w:rPr>
        <w:t xml:space="preserve"> </w:t>
      </w:r>
    </w:p>
    <w:p w:rsidR="00133B80" w:rsidRPr="004B4040" w:rsidRDefault="00133B80">
      <w:pPr>
        <w:spacing w:after="64"/>
        <w:ind w:right="0"/>
      </w:pPr>
      <w:proofErr w:type="gramStart"/>
      <w:r w:rsidRPr="004B4040">
        <w:rPr>
          <w:rFonts w:hint="eastAsia"/>
        </w:rPr>
        <w:t>柒</w:t>
      </w:r>
      <w:proofErr w:type="gramEnd"/>
      <w:r w:rsidRPr="004B4040">
        <w:rPr>
          <w:rFonts w:hint="eastAsia"/>
        </w:rPr>
        <w:t>、押標金：本案押標金之金額為標價總額</w:t>
      </w:r>
      <w:r w:rsidRPr="004B4040">
        <w:t xml:space="preserve"> </w:t>
      </w:r>
      <w:r w:rsidRPr="00AA43BE">
        <w:rPr>
          <w:rFonts w:cs="Times New Roman"/>
        </w:rPr>
        <w:t>5%</w:t>
      </w:r>
      <w:r w:rsidRPr="004B4040">
        <w:rPr>
          <w:rFonts w:hint="eastAsia"/>
        </w:rPr>
        <w:t>。</w:t>
      </w:r>
      <w:r w:rsidRPr="00AA43BE">
        <w:rPr>
          <w:rFonts w:cs="Times New Roman"/>
        </w:rPr>
        <w:t xml:space="preserve"> </w:t>
      </w:r>
    </w:p>
    <w:p w:rsidR="004B4040" w:rsidRPr="004B4040" w:rsidRDefault="00133B80" w:rsidP="00AA43BE">
      <w:pPr>
        <w:spacing w:after="120" w:line="300" w:lineRule="auto"/>
        <w:ind w:left="11" w:right="227" w:hanging="11"/>
        <w:jc w:val="right"/>
      </w:pPr>
      <w:r w:rsidRPr="004B4040">
        <w:rPr>
          <w:rFonts w:hint="eastAsia"/>
        </w:rPr>
        <w:t>有關押標金之繳交方式及其他規定，依據中華電視股份有限公司「採購</w:t>
      </w:r>
      <w:r w:rsidR="004B4040" w:rsidRPr="004B4040">
        <w:rPr>
          <w:rFonts w:hint="eastAsia"/>
        </w:rPr>
        <w:t>管理準則</w:t>
      </w:r>
      <w:r w:rsidRPr="004B4040">
        <w:rPr>
          <w:rFonts w:hint="eastAsia"/>
        </w:rPr>
        <w:t>」之</w:t>
      </w:r>
    </w:p>
    <w:p w:rsidR="00133B80" w:rsidRDefault="004B4040" w:rsidP="00AA43BE">
      <w:pPr>
        <w:spacing w:after="120" w:line="300" w:lineRule="auto"/>
        <w:ind w:left="11" w:right="227" w:hanging="11"/>
      </w:pPr>
      <w:r>
        <w:rPr>
          <w:rFonts w:hint="eastAsia"/>
        </w:rPr>
        <w:t xml:space="preserve">  </w:t>
      </w:r>
      <w:r w:rsidR="00133B80" w:rsidRPr="004B4040">
        <w:rPr>
          <w:rFonts w:hint="eastAsia"/>
        </w:rPr>
        <w:t>規定辦理。</w:t>
      </w:r>
      <w:r w:rsidR="00133B80">
        <w:rPr>
          <w:rFonts w:ascii="Times New Roman" w:hAnsi="Times New Roman" w:cs="Times New Roman"/>
        </w:rPr>
        <w:t xml:space="preserve"> </w:t>
      </w:r>
    </w:p>
    <w:p w:rsidR="00133B80" w:rsidRDefault="009E5467">
      <w:pPr>
        <w:spacing w:after="235"/>
        <w:ind w:right="0"/>
      </w:pPr>
      <w:r>
        <w:rPr>
          <w:rFonts w:hint="eastAsia"/>
        </w:rPr>
        <w:t>捌、開標：本案開標程序依中華電視股份有限公司「</w:t>
      </w:r>
      <w:r w:rsidRPr="006F2552">
        <w:rPr>
          <w:rFonts w:hint="eastAsia"/>
          <w:color w:val="auto"/>
        </w:rPr>
        <w:t>採購管理準則</w:t>
      </w:r>
      <w:r w:rsidR="00133B80">
        <w:rPr>
          <w:rFonts w:hint="eastAsia"/>
        </w:rPr>
        <w:t>」之規定辦理。</w:t>
      </w:r>
      <w:r w:rsidR="00133B80"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right="0"/>
      </w:pPr>
      <w:r>
        <w:rPr>
          <w:rFonts w:hint="eastAsia"/>
        </w:rPr>
        <w:t>玖、決標方式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3"/>
        </w:numPr>
        <w:spacing w:after="94"/>
        <w:ind w:right="0" w:hanging="521"/>
      </w:pPr>
      <w:r>
        <w:rPr>
          <w:rFonts w:hint="eastAsia"/>
        </w:rPr>
        <w:t>以合於招標文件規定之最有利標為得標廠商。</w:t>
      </w:r>
      <w:r>
        <w:rPr>
          <w:rFonts w:ascii="Times New Roman" w:hAnsi="Times New Roman" w:cs="Times New Roman"/>
        </w:rPr>
        <w:t xml:space="preserve"> </w:t>
      </w:r>
    </w:p>
    <w:p w:rsidR="00133B80" w:rsidRPr="006F2552" w:rsidRDefault="00807B17" w:rsidP="00120526">
      <w:pPr>
        <w:numPr>
          <w:ilvl w:val="0"/>
          <w:numId w:val="3"/>
        </w:numPr>
        <w:ind w:right="0" w:hanging="521"/>
        <w:rPr>
          <w:color w:val="auto"/>
        </w:rPr>
      </w:pPr>
      <w:r w:rsidRPr="006F2552">
        <w:rPr>
          <w:color w:val="auto"/>
        </w:rPr>
        <w:t>本案</w:t>
      </w:r>
      <w:proofErr w:type="gramStart"/>
      <w:r w:rsidRPr="006F2552">
        <w:rPr>
          <w:color w:val="auto"/>
        </w:rPr>
        <w:t>採準</w:t>
      </w:r>
      <w:proofErr w:type="gramEnd"/>
      <w:r w:rsidRPr="006F2552">
        <w:rPr>
          <w:color w:val="auto"/>
        </w:rPr>
        <w:t>用最有利標之評定方式：</w:t>
      </w:r>
      <w:proofErr w:type="gramStart"/>
      <w:r w:rsidRPr="006F2552">
        <w:rPr>
          <w:color w:val="auto"/>
        </w:rPr>
        <w:t>採</w:t>
      </w:r>
      <w:proofErr w:type="gramEnd"/>
      <w:r w:rsidRPr="006F2552">
        <w:rPr>
          <w:color w:val="auto"/>
        </w:rPr>
        <w:t>序位法</w:t>
      </w:r>
      <w:r w:rsidR="00E1464D" w:rsidRPr="006F2552">
        <w:rPr>
          <w:rFonts w:hint="eastAsia"/>
          <w:color w:val="auto"/>
        </w:rPr>
        <w:t>。</w:t>
      </w:r>
      <w:r w:rsidR="00120526" w:rsidRPr="006F2552">
        <w:rPr>
          <w:color w:val="auto"/>
        </w:rPr>
        <w:t>價格納入評比，</w:t>
      </w:r>
      <w:proofErr w:type="gramStart"/>
      <w:r w:rsidR="00120526" w:rsidRPr="006F2552">
        <w:rPr>
          <w:color w:val="auto"/>
        </w:rPr>
        <w:t>以序位</w:t>
      </w:r>
      <w:proofErr w:type="gramEnd"/>
      <w:r w:rsidR="00120526" w:rsidRPr="006F2552">
        <w:rPr>
          <w:color w:val="auto"/>
        </w:rPr>
        <w:t>第一，經評選委員會過半數決定</w:t>
      </w:r>
      <w:proofErr w:type="gramStart"/>
      <w:r w:rsidR="00120526" w:rsidRPr="006F2552">
        <w:rPr>
          <w:color w:val="auto"/>
        </w:rPr>
        <w:t>且經鈞長</w:t>
      </w:r>
      <w:proofErr w:type="gramEnd"/>
      <w:r w:rsidR="00120526" w:rsidRPr="006F2552">
        <w:rPr>
          <w:color w:val="auto"/>
        </w:rPr>
        <w:t>核定者為最優廠商，取得優先議價之權利</w:t>
      </w:r>
      <w:r w:rsidR="00133B80" w:rsidRPr="006F2552">
        <w:rPr>
          <w:rFonts w:hint="eastAsia"/>
          <w:color w:val="auto"/>
        </w:rPr>
        <w:t>，如有議價不成，再由</w:t>
      </w:r>
      <w:proofErr w:type="gramStart"/>
      <w:r w:rsidR="00FA45AF" w:rsidRPr="006F2552">
        <w:rPr>
          <w:rFonts w:hint="eastAsia"/>
          <w:color w:val="auto"/>
        </w:rPr>
        <w:t>本公司</w:t>
      </w:r>
      <w:r w:rsidR="00133B80" w:rsidRPr="006F2552">
        <w:rPr>
          <w:rFonts w:hint="eastAsia"/>
          <w:color w:val="auto"/>
        </w:rPr>
        <w:t>與序位</w:t>
      </w:r>
      <w:proofErr w:type="gramEnd"/>
      <w:r w:rsidR="00133B80" w:rsidRPr="006F2552">
        <w:rPr>
          <w:rFonts w:hint="eastAsia"/>
          <w:color w:val="auto"/>
        </w:rPr>
        <w:t>第二之合格廠商議價，以下依此類推。</w:t>
      </w:r>
      <w:r w:rsidR="00133B80" w:rsidRPr="006F2552">
        <w:rPr>
          <w:rFonts w:ascii="Times New Roman" w:hAnsi="Times New Roman" w:cs="Times New Roman"/>
          <w:color w:val="auto"/>
        </w:rPr>
        <w:t xml:space="preserve"> </w:t>
      </w:r>
    </w:p>
    <w:p w:rsidR="00133B80" w:rsidRPr="006F2552" w:rsidRDefault="00133B80">
      <w:pPr>
        <w:numPr>
          <w:ilvl w:val="0"/>
          <w:numId w:val="3"/>
        </w:numPr>
        <w:ind w:right="0" w:hanging="521"/>
        <w:rPr>
          <w:color w:val="auto"/>
        </w:rPr>
      </w:pPr>
      <w:r w:rsidRPr="006F2552">
        <w:rPr>
          <w:rFonts w:hint="eastAsia"/>
          <w:color w:val="auto"/>
        </w:rPr>
        <w:t>本案之評選項目及配分權重，詳見</w:t>
      </w:r>
      <w:r w:rsidR="00221900" w:rsidRPr="006F2552">
        <w:rPr>
          <w:rFonts w:hint="eastAsia"/>
          <w:color w:val="auto"/>
        </w:rPr>
        <w:t>評選會議說明之</w:t>
      </w:r>
      <w:r w:rsidRPr="006F2552">
        <w:rPr>
          <w:rFonts w:hint="eastAsia"/>
          <w:color w:val="auto"/>
        </w:rPr>
        <w:t>規定。</w:t>
      </w:r>
      <w:r w:rsidRPr="006F2552">
        <w:rPr>
          <w:rFonts w:ascii="Times New Roman" w:hAnsi="Times New Roman" w:cs="Times New Roman"/>
          <w:color w:val="auto"/>
        </w:rPr>
        <w:t xml:space="preserve"> </w:t>
      </w:r>
    </w:p>
    <w:p w:rsidR="00133B80" w:rsidRDefault="00133B80">
      <w:pPr>
        <w:numPr>
          <w:ilvl w:val="0"/>
          <w:numId w:val="3"/>
        </w:numPr>
        <w:spacing w:after="64"/>
        <w:ind w:right="0" w:hanging="521"/>
      </w:pPr>
      <w:r>
        <w:rPr>
          <w:rFonts w:hint="eastAsia"/>
        </w:rPr>
        <w:t>本案訂底價，以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用最有利標之標價應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逾一年預算金額新台幣</w:t>
      </w:r>
      <w:r>
        <w:t xml:space="preserve"> </w:t>
      </w:r>
      <w:r w:rsidR="006F2552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0 </w:t>
      </w:r>
      <w:r>
        <w:rPr>
          <w:rFonts w:hint="eastAsia"/>
        </w:rPr>
        <w:t>萬元整</w:t>
      </w:r>
    </w:p>
    <w:p w:rsidR="00133B80" w:rsidRDefault="00133B80">
      <w:pPr>
        <w:ind w:left="1075" w:right="0"/>
      </w:pPr>
      <w:r>
        <w:rPr>
          <w:rFonts w:hint="eastAsia"/>
        </w:rPr>
        <w:t>（含稅）。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3"/>
        </w:numPr>
        <w:spacing w:after="214"/>
        <w:ind w:right="0" w:hanging="521"/>
      </w:pPr>
      <w:r>
        <w:rPr>
          <w:rFonts w:hint="eastAsia"/>
        </w:rPr>
        <w:t>投標廠商之投標文件經審查合於招標文件規定者，始得為評選之對象。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right="0"/>
      </w:pPr>
      <w:r>
        <w:rPr>
          <w:rFonts w:hint="eastAsia"/>
        </w:rPr>
        <w:t>拾、</w:t>
      </w:r>
      <w:r>
        <w:t xml:space="preserve"> </w:t>
      </w:r>
      <w:r>
        <w:rPr>
          <w:rFonts w:hint="eastAsia"/>
        </w:rPr>
        <w:t>審標與評選</w:t>
      </w:r>
      <w:r>
        <w:t xml:space="preserve"> </w:t>
      </w:r>
    </w:p>
    <w:p w:rsidR="00133B80" w:rsidRDefault="00133B80">
      <w:pPr>
        <w:numPr>
          <w:ilvl w:val="0"/>
          <w:numId w:val="4"/>
        </w:numPr>
        <w:spacing w:after="34"/>
        <w:ind w:right="0" w:hanging="521"/>
      </w:pPr>
      <w:r>
        <w:rPr>
          <w:rFonts w:hint="eastAsia"/>
        </w:rPr>
        <w:t>資格審查：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left="1075" w:right="0"/>
      </w:pPr>
      <w:r>
        <w:rPr>
          <w:rFonts w:hint="eastAsia"/>
        </w:rPr>
        <w:t>經資格審查符合本招標文件所規定投標廠商資格及應檢附之文件者，得參與「計畫書評選」，</w:t>
      </w:r>
      <w:proofErr w:type="gramStart"/>
      <w:r>
        <w:rPr>
          <w:rFonts w:hint="eastAsia"/>
        </w:rPr>
        <w:t>以及試妝</w:t>
      </w:r>
      <w:proofErr w:type="gramEnd"/>
      <w:r>
        <w:rPr>
          <w:rFonts w:hint="eastAsia"/>
        </w:rPr>
        <w:t>、簡報程序。資格不符者，不得參與「計畫書評選」</w:t>
      </w:r>
      <w:proofErr w:type="gramStart"/>
      <w:r>
        <w:rPr>
          <w:rFonts w:hint="eastAsia"/>
        </w:rPr>
        <w:t>與試妝</w:t>
      </w:r>
      <w:proofErr w:type="gramEnd"/>
      <w:r>
        <w:rPr>
          <w:rFonts w:hint="eastAsia"/>
        </w:rPr>
        <w:t>、簡報程序，該標不予考慮。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4"/>
        </w:numPr>
        <w:spacing w:after="55"/>
        <w:ind w:right="0" w:hanging="521"/>
      </w:pPr>
      <w:r>
        <w:rPr>
          <w:rFonts w:hint="eastAsia"/>
        </w:rPr>
        <w:t>計畫書評選：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spacing w:after="41"/>
        <w:ind w:left="1605" w:right="0" w:hanging="540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hint="eastAsia"/>
        </w:rPr>
        <w:t>資格及投標文件經審查合於招標文件規定之投標廠商，其「計畫書」將分送本案採購評選委員評選。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 w:rsidP="007A58EF">
      <w:pPr>
        <w:spacing w:after="57"/>
        <w:ind w:left="1075" w:right="0"/>
        <w:rPr>
          <w:rFonts w:ascii="Times New Roman" w:hAnsi="Times New Roman" w:cs="Times New Roman"/>
        </w:rPr>
      </w:pPr>
      <w:r w:rsidRPr="00B813E1">
        <w:rPr>
          <w:rFonts w:ascii="Times New Roman" w:hAnsi="Times New Roman" w:cs="Times New Roman"/>
          <w:color w:val="auto"/>
        </w:rPr>
        <w:t>(</w:t>
      </w:r>
      <w:r w:rsidRPr="00B813E1">
        <w:rPr>
          <w:rFonts w:hint="eastAsia"/>
          <w:color w:val="auto"/>
        </w:rPr>
        <w:t>二</w:t>
      </w:r>
      <w:r w:rsidRPr="00B813E1">
        <w:rPr>
          <w:rFonts w:ascii="Times New Roman" w:hAnsi="Times New Roman" w:cs="Times New Roman"/>
          <w:color w:val="auto"/>
        </w:rPr>
        <w:t>)</w:t>
      </w:r>
      <w:proofErr w:type="gramStart"/>
      <w:r w:rsidRPr="00B813E1">
        <w:rPr>
          <w:rFonts w:hint="eastAsia"/>
          <w:color w:val="auto"/>
        </w:rPr>
        <w:t>廠商試妝與</w:t>
      </w:r>
      <w:proofErr w:type="gramEnd"/>
      <w:r w:rsidRPr="00B813E1">
        <w:rPr>
          <w:rFonts w:hint="eastAsia"/>
          <w:color w:val="auto"/>
        </w:rPr>
        <w:t>簡報：</w:t>
      </w:r>
      <w:r>
        <w:rPr>
          <w:rFonts w:ascii="Times New Roman" w:hAnsi="Times New Roman" w:cs="Times New Roman"/>
        </w:rPr>
        <w:t xml:space="preserve"> </w:t>
      </w:r>
    </w:p>
    <w:p w:rsidR="007A58EF" w:rsidRDefault="007A58EF" w:rsidP="007A58EF">
      <w:pPr>
        <w:spacing w:after="57"/>
        <w:ind w:left="1843" w:right="0" w:hanging="283"/>
      </w:pPr>
      <w:r>
        <w:t>1、資格合格廠商應就評選委員要求，針對指定的</w:t>
      </w:r>
      <w:r w:rsidR="00E04214">
        <w:t>2</w:t>
      </w:r>
      <w:r>
        <w:t>位主播/主持人，於</w:t>
      </w:r>
      <w:r w:rsidRPr="00B813E1">
        <w:rPr>
          <w:color w:val="auto"/>
        </w:rPr>
        <w:t>指定日期進行一百五十分鐘</w:t>
      </w:r>
      <w:r w:rsidR="00B813E1">
        <w:t>內</w:t>
      </w:r>
      <w:r>
        <w:t>的整體造型</w:t>
      </w:r>
      <w:proofErr w:type="gramStart"/>
      <w:r>
        <w:t>之試妝</w:t>
      </w:r>
      <w:proofErr w:type="gramEnd"/>
      <w:r>
        <w:t xml:space="preserve">。 </w:t>
      </w:r>
    </w:p>
    <w:p w:rsidR="007A58EF" w:rsidRDefault="007A58EF" w:rsidP="007A58EF">
      <w:pPr>
        <w:spacing w:after="57"/>
        <w:ind w:left="1843" w:right="0" w:hanging="283"/>
      </w:pPr>
      <w:r>
        <w:t>2、現場</w:t>
      </w:r>
      <w:proofErr w:type="gramStart"/>
      <w:r>
        <w:t>實行試妝的</w:t>
      </w:r>
      <w:proofErr w:type="gramEnd"/>
      <w:r>
        <w:t xml:space="preserve">造型師必須為未來固定派駐華視新聞台的主要造型師。 </w:t>
      </w:r>
    </w:p>
    <w:p w:rsidR="007A58EF" w:rsidRDefault="007A58EF" w:rsidP="007A58EF">
      <w:pPr>
        <w:spacing w:after="57"/>
        <w:ind w:left="1843" w:right="0" w:hanging="283"/>
      </w:pPr>
      <w:r>
        <w:t>3、資格合格廠商必須提供符合高畫質(HD)新聞</w:t>
      </w:r>
      <w:proofErr w:type="gramStart"/>
      <w:r>
        <w:t>攝影棚的梳化妝</w:t>
      </w:r>
      <w:proofErr w:type="gramEnd"/>
      <w:r>
        <w:t xml:space="preserve">材料、用品、技術與服務，以及男/女主播服裝各三套(依不同節目風格：LIVE新聞、深度報導節目、休閒時尚節目) ，供評審委員評比。 </w:t>
      </w:r>
    </w:p>
    <w:p w:rsidR="007A58EF" w:rsidRDefault="007A58EF" w:rsidP="007A58EF">
      <w:pPr>
        <w:spacing w:after="57"/>
        <w:ind w:left="1843" w:right="0" w:hanging="283"/>
      </w:pPr>
      <w:r>
        <w:lastRenderedPageBreak/>
        <w:t>4、</w:t>
      </w:r>
      <w:proofErr w:type="gramStart"/>
      <w:r>
        <w:t>試妝完成</w:t>
      </w:r>
      <w:proofErr w:type="gramEnd"/>
      <w:r>
        <w:t>後，廠商需於指定日期針對所提「</w:t>
      </w:r>
      <w:r w:rsidR="00EE2003">
        <w:t>計畫書」內容對本案採購評選委員進行二十分鐘之口頭簡報（簡報順序於資格標審查時抽籤決定</w:t>
      </w:r>
      <w:r>
        <w:t xml:space="preserve">），投標廠商應派本案之專任工作人員出席簡報，出席人員以 5 人為上限，簡報後並接受評選委員問答。 </w:t>
      </w:r>
    </w:p>
    <w:p w:rsidR="007A58EF" w:rsidRDefault="007A58EF" w:rsidP="007A58EF">
      <w:pPr>
        <w:spacing w:after="57"/>
        <w:ind w:left="1843" w:right="0" w:hanging="283"/>
      </w:pPr>
      <w:r>
        <w:t>5、前項廠商簡報及現場問答，應與評選項目有關。簡報不得更改廠商投標</w:t>
      </w:r>
      <w:r>
        <w:rPr>
          <w:rFonts w:hint="eastAsia"/>
        </w:rPr>
        <w:t>文件內容。廠商另外提出變更或補充資料者，該資料應不納入評選。</w:t>
      </w:r>
      <w:r>
        <w:t xml:space="preserve"> </w:t>
      </w:r>
    </w:p>
    <w:p w:rsidR="007A58EF" w:rsidRDefault="007A58EF" w:rsidP="007A58EF">
      <w:pPr>
        <w:spacing w:after="57"/>
        <w:ind w:left="1843" w:right="0" w:hanging="283"/>
      </w:pPr>
      <w:r>
        <w:t>6、</w:t>
      </w:r>
      <w:proofErr w:type="gramStart"/>
      <w:r>
        <w:t>試妝與</w:t>
      </w:r>
      <w:proofErr w:type="gramEnd"/>
      <w:r>
        <w:t>簡報之時間及地點：</w:t>
      </w:r>
      <w:proofErr w:type="gramStart"/>
      <w:r>
        <w:t>於截標</w:t>
      </w:r>
      <w:proofErr w:type="gramEnd"/>
      <w:r>
        <w:t>後，資格審查完成，即通知廠商時間與地點。</w:t>
      </w:r>
    </w:p>
    <w:p w:rsidR="00133B80" w:rsidRDefault="00133B80">
      <w:pPr>
        <w:spacing w:after="55"/>
        <w:ind w:left="1075" w:right="0"/>
      </w:pPr>
      <w:r>
        <w:rPr>
          <w:rFonts w:ascii="Times New Roman" w:hAnsi="Times New Roman" w:cs="Times New Roman"/>
        </w:rPr>
        <w:t>(</w:t>
      </w:r>
      <w:r>
        <w:rPr>
          <w:rFonts w:hint="eastAsia"/>
        </w:rPr>
        <w:t>三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評選：</w:t>
      </w:r>
      <w:r>
        <w:rPr>
          <w:rFonts w:ascii="Times New Roman" w:hAnsi="Times New Roman" w:cs="Times New Roman"/>
        </w:rPr>
        <w:t xml:space="preserve"> </w:t>
      </w:r>
    </w:p>
    <w:p w:rsidR="00133B80" w:rsidRDefault="007A58EF" w:rsidP="007A58EF">
      <w:pPr>
        <w:numPr>
          <w:ilvl w:val="1"/>
          <w:numId w:val="5"/>
        </w:numPr>
        <w:spacing w:after="43"/>
        <w:ind w:right="0" w:hanging="360"/>
      </w:pPr>
      <w:r w:rsidRPr="00EE2003">
        <w:rPr>
          <w:color w:val="auto"/>
        </w:rPr>
        <w:t>於指定</w:t>
      </w:r>
      <w:proofErr w:type="gramStart"/>
      <w:r w:rsidRPr="00EE2003">
        <w:rPr>
          <w:color w:val="auto"/>
        </w:rPr>
        <w:t>日期試妝完成</w:t>
      </w:r>
      <w:proofErr w:type="gramEnd"/>
      <w:r w:rsidRPr="00EE2003">
        <w:rPr>
          <w:color w:val="auto"/>
        </w:rPr>
        <w:t>後，將擇日進行廠商簡報及現場答</w:t>
      </w:r>
      <w:proofErr w:type="gramStart"/>
      <w:r w:rsidRPr="00EE2003">
        <w:rPr>
          <w:color w:val="auto"/>
        </w:rPr>
        <w:t>詢</w:t>
      </w:r>
      <w:proofErr w:type="gramEnd"/>
      <w:r w:rsidRPr="00EE2003">
        <w:rPr>
          <w:color w:val="auto"/>
        </w:rPr>
        <w:t>進行評分</w:t>
      </w:r>
      <w:r w:rsidRPr="007A58EF">
        <w:t>，各</w:t>
      </w:r>
      <w:r w:rsidR="00EE2003">
        <w:t>評選委員依據各投標廠商所提計畫書內容</w:t>
      </w:r>
      <w:proofErr w:type="gramStart"/>
      <w:r w:rsidR="00EE2003">
        <w:t>與試妝</w:t>
      </w:r>
      <w:proofErr w:type="gramEnd"/>
      <w:r w:rsidR="00EE2003">
        <w:t>、簡報結果，依評選會議說明</w:t>
      </w:r>
      <w:r w:rsidRPr="007A58EF">
        <w:t>所列評選項目及配分評定各廠商之得分</w:t>
      </w:r>
      <w:r w:rsidR="00133B80">
        <w:rPr>
          <w:rFonts w:hint="eastAsia"/>
        </w:rPr>
        <w:t>。</w:t>
      </w:r>
      <w:r w:rsidR="00133B80"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5"/>
        </w:numPr>
        <w:spacing w:after="45"/>
        <w:ind w:right="0" w:hanging="360"/>
      </w:pPr>
      <w:r>
        <w:rPr>
          <w:rFonts w:hint="eastAsia"/>
        </w:rPr>
        <w:t>全部評選項目合計總分為一百分。各投標廠商其平均總分七十分（含）以上者為合格，低於七十分者為不合格。不合格之廠商不得作為決標對象。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5"/>
        </w:numPr>
        <w:spacing w:after="46"/>
        <w:ind w:right="0" w:hanging="360"/>
      </w:pPr>
      <w:r>
        <w:rPr>
          <w:rFonts w:hint="eastAsia"/>
        </w:rPr>
        <w:t>各評選委員對各合格廠商之評定分數，依其評審之分數高低</w:t>
      </w:r>
      <w:proofErr w:type="gramStart"/>
      <w:r>
        <w:rPr>
          <w:rFonts w:hint="eastAsia"/>
        </w:rPr>
        <w:t>換算為序位</w:t>
      </w:r>
      <w:proofErr w:type="gramEnd"/>
      <w:r>
        <w:rPr>
          <w:rFonts w:hint="eastAsia"/>
        </w:rPr>
        <w:t>，得分</w:t>
      </w:r>
      <w:proofErr w:type="gramStart"/>
      <w:r>
        <w:rPr>
          <w:rFonts w:hint="eastAsia"/>
        </w:rPr>
        <w:t>最高者序位</w:t>
      </w:r>
      <w:proofErr w:type="gramEnd"/>
      <w:r>
        <w:rPr>
          <w:rFonts w:hint="eastAsia"/>
        </w:rPr>
        <w:t>第一，得分次</w:t>
      </w:r>
      <w:proofErr w:type="gramStart"/>
      <w:r>
        <w:rPr>
          <w:rFonts w:hint="eastAsia"/>
        </w:rPr>
        <w:t>高者序位</w:t>
      </w:r>
      <w:proofErr w:type="gramEnd"/>
      <w:r>
        <w:rPr>
          <w:rFonts w:hint="eastAsia"/>
        </w:rPr>
        <w:t>第二，餘類推。並將各合格</w:t>
      </w:r>
      <w:proofErr w:type="gramStart"/>
      <w:r>
        <w:rPr>
          <w:rFonts w:hint="eastAsia"/>
        </w:rPr>
        <w:t>廠商之序位</w:t>
      </w:r>
      <w:proofErr w:type="gramEnd"/>
      <w:r>
        <w:rPr>
          <w:rFonts w:hint="eastAsia"/>
        </w:rPr>
        <w:t>予以加總，序位和計數最低者</w:t>
      </w:r>
      <w:proofErr w:type="gramStart"/>
      <w:r>
        <w:rPr>
          <w:rFonts w:hint="eastAsia"/>
        </w:rPr>
        <w:t>為總序位</w:t>
      </w:r>
      <w:proofErr w:type="gramEnd"/>
      <w:r>
        <w:rPr>
          <w:rFonts w:hint="eastAsia"/>
        </w:rPr>
        <w:t>第一，且經評選委員會過半數決定者為最有利標。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1"/>
          <w:numId w:val="5"/>
        </w:numPr>
        <w:spacing w:after="237"/>
        <w:ind w:right="0" w:hanging="360"/>
      </w:pPr>
      <w:proofErr w:type="gramStart"/>
      <w:r>
        <w:rPr>
          <w:rFonts w:hint="eastAsia"/>
        </w:rPr>
        <w:t>總序位</w:t>
      </w:r>
      <w:proofErr w:type="gramEnd"/>
      <w:r>
        <w:rPr>
          <w:rFonts w:hint="eastAsia"/>
        </w:rPr>
        <w:t>相同者，以標價最低者決定之；若標價相同者，以抽籤決定之。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right="0"/>
      </w:pPr>
      <w:r>
        <w:rPr>
          <w:rFonts w:hint="eastAsia"/>
        </w:rPr>
        <w:t>拾壹、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履約保證金</w:t>
      </w:r>
      <w:r>
        <w:rPr>
          <w:rFonts w:ascii="Times New Roman" w:hAnsi="Times New Roman" w:cs="Times New Roman"/>
        </w:rPr>
        <w:t xml:space="preserve"> </w:t>
      </w:r>
    </w:p>
    <w:p w:rsidR="00E30DC5" w:rsidRDefault="00E30DC5">
      <w:pPr>
        <w:numPr>
          <w:ilvl w:val="0"/>
          <w:numId w:val="6"/>
        </w:numPr>
        <w:spacing w:after="47"/>
        <w:ind w:right="0" w:hanging="521"/>
      </w:pPr>
      <w:r>
        <w:rPr>
          <w:rFonts w:hint="eastAsia"/>
        </w:rPr>
        <w:t>金額為標價總額</w:t>
      </w:r>
      <w:r>
        <w:t>5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。限用金融機構所簽發之本票或支票、定期存單。得標商同意將押標金轉履約保證金。</w:t>
      </w:r>
    </w:p>
    <w:p w:rsidR="00133B80" w:rsidRDefault="00E30DC5">
      <w:pPr>
        <w:numPr>
          <w:ilvl w:val="0"/>
          <w:numId w:val="6"/>
        </w:numPr>
        <w:spacing w:after="47"/>
        <w:ind w:right="0" w:hanging="521"/>
      </w:pPr>
      <w:r>
        <w:rPr>
          <w:rFonts w:hint="eastAsia"/>
        </w:rPr>
        <w:t>履約保證金將於合約履行完畢</w:t>
      </w:r>
      <w:r w:rsidR="00133B80">
        <w:rPr>
          <w:rFonts w:hint="eastAsia"/>
        </w:rPr>
        <w:t>，且無待解決之情事後無息發還。</w:t>
      </w:r>
      <w:r w:rsidR="00133B80">
        <w:rPr>
          <w:rFonts w:ascii="Times New Roman" w:hAnsi="Times New Roman" w:cs="Times New Roman"/>
        </w:rPr>
        <w:t xml:space="preserve"> </w:t>
      </w:r>
    </w:p>
    <w:p w:rsidR="00133B80" w:rsidRDefault="00133B80">
      <w:pPr>
        <w:ind w:right="0"/>
      </w:pPr>
      <w:r>
        <w:rPr>
          <w:rFonts w:hint="eastAsia"/>
        </w:rPr>
        <w:t>拾貳、罰款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7"/>
        </w:numPr>
        <w:spacing w:after="72"/>
        <w:ind w:right="0" w:hanging="521"/>
      </w:pPr>
      <w:r>
        <w:rPr>
          <w:rFonts w:hint="eastAsia"/>
        </w:rPr>
        <w:t>缺失違約金，以次為單位，場商如發生服務缺失，委托單位應按書面告知次數，每次依契約價金總額</w:t>
      </w:r>
      <w:r>
        <w:rPr>
          <w:rFonts w:ascii="Times New Roman" w:hAnsi="Times New Roman" w:cs="Times New Roman"/>
        </w:rPr>
        <w:t xml:space="preserve"> 1%</w:t>
      </w:r>
      <w:r>
        <w:rPr>
          <w:rFonts w:hint="eastAsia"/>
        </w:rPr>
        <w:t>計算缺失違約金。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7"/>
        </w:numPr>
        <w:spacing w:after="79"/>
        <w:ind w:right="0" w:hanging="521"/>
      </w:pPr>
      <w:r>
        <w:rPr>
          <w:rFonts w:hint="eastAsia"/>
        </w:rPr>
        <w:t>缺失違約金之支付，委託單位得自應付價金中扣抵；其有不足者，得通知廠商繳納或自保證金扣抵。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7"/>
        </w:numPr>
        <w:ind w:right="0" w:hanging="521"/>
      </w:pPr>
      <w:r>
        <w:rPr>
          <w:rFonts w:hint="eastAsia"/>
        </w:rPr>
        <w:t>廠商履約有缺失違約金、損害賠償、採購標的之服務或重大缺失、未完全履約、不符契約規定、</w:t>
      </w:r>
      <w:proofErr w:type="gramStart"/>
      <w:r>
        <w:rPr>
          <w:rFonts w:hint="eastAsia"/>
        </w:rPr>
        <w:t>溢領價金</w:t>
      </w:r>
      <w:proofErr w:type="gramEnd"/>
      <w:r>
        <w:rPr>
          <w:rFonts w:hint="eastAsia"/>
        </w:rPr>
        <w:t>或減少履約事項等情形時，委託單位得自應付價金中扣抵；其有不足者，得通知廠商給付或自保證金扣抵。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>
      <w:pPr>
        <w:numPr>
          <w:ilvl w:val="0"/>
          <w:numId w:val="7"/>
        </w:numPr>
        <w:spacing w:after="63"/>
        <w:ind w:right="0" w:hanging="521"/>
      </w:pPr>
      <w:r>
        <w:rPr>
          <w:rFonts w:hint="eastAsia"/>
        </w:rPr>
        <w:t>缺失違約金之總額，以契約價金總額之</w:t>
      </w:r>
      <w:r>
        <w:t xml:space="preserve"> </w:t>
      </w:r>
      <w:r>
        <w:rPr>
          <w:rFonts w:ascii="Times New Roman" w:hAnsi="Times New Roman" w:cs="Times New Roman"/>
        </w:rPr>
        <w:t>20%</w:t>
      </w:r>
      <w:r>
        <w:rPr>
          <w:rFonts w:hint="eastAsia"/>
        </w:rPr>
        <w:t>為上限。</w:t>
      </w:r>
      <w:r>
        <w:rPr>
          <w:rFonts w:ascii="Times New Roman" w:hAnsi="Times New Roman" w:cs="Times New Roman"/>
        </w:rPr>
        <w:t xml:space="preserve"> </w:t>
      </w:r>
    </w:p>
    <w:p w:rsidR="00133B80" w:rsidRDefault="00133B80" w:rsidP="007A58EF">
      <w:pPr>
        <w:spacing w:after="231"/>
        <w:ind w:left="709" w:right="0" w:hanging="709"/>
      </w:pPr>
      <w:r>
        <w:rPr>
          <w:rFonts w:hint="eastAsia"/>
        </w:rPr>
        <w:t>拾參、付款方式得標廠商經委託單位審查驗收通過後，依得標之金額（含稅）每月平均</w:t>
      </w:r>
      <w:proofErr w:type="gramStart"/>
      <w:r>
        <w:rPr>
          <w:rFonts w:hint="eastAsia"/>
        </w:rPr>
        <w:t>請領價金</w:t>
      </w:r>
      <w:proofErr w:type="gramEnd"/>
      <w:r>
        <w:rPr>
          <w:rFonts w:hint="eastAsia"/>
        </w:rPr>
        <w:t>（含稅），委託單位得於次月</w:t>
      </w:r>
      <w:r>
        <w:t xml:space="preserve"> </w:t>
      </w:r>
      <w:r w:rsidR="00F926EB"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日前支付廠商費用。</w:t>
      </w:r>
      <w:r>
        <w:rPr>
          <w:rFonts w:ascii="Times New Roman" w:hAnsi="Times New Roman" w:cs="Times New Roman"/>
        </w:rPr>
        <w:t xml:space="preserve"> </w:t>
      </w:r>
    </w:p>
    <w:sectPr w:rsidR="00133B80" w:rsidSect="00E84B5C">
      <w:footerReference w:type="even" r:id="rId8"/>
      <w:footerReference w:type="default" r:id="rId9"/>
      <w:footerReference w:type="first" r:id="rId10"/>
      <w:pgSz w:w="11906" w:h="16838"/>
      <w:pgMar w:top="1230" w:right="1176" w:bottom="1279" w:left="1419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67" w:rsidRDefault="00266F67">
      <w:pPr>
        <w:spacing w:after="0" w:line="240" w:lineRule="auto"/>
      </w:pPr>
      <w:r>
        <w:separator/>
      </w:r>
    </w:p>
  </w:endnote>
  <w:endnote w:type="continuationSeparator" w:id="0">
    <w:p w:rsidR="00266F67" w:rsidRDefault="002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 w:rsidR="00E936F0">
      <w:rPr>
        <w:rFonts w:ascii="Times New Roman" w:hAnsi="Times New Roman" w:cs="Times New Roman"/>
        <w:noProof/>
        <w:sz w:val="20"/>
      </w:rPr>
      <w:t>3</w:t>
    </w:r>
    <w:r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67" w:rsidRDefault="00266F67">
      <w:pPr>
        <w:spacing w:after="0" w:line="240" w:lineRule="auto"/>
      </w:pPr>
      <w:r>
        <w:separator/>
      </w:r>
    </w:p>
  </w:footnote>
  <w:footnote w:type="continuationSeparator" w:id="0">
    <w:p w:rsidR="00266F67" w:rsidRDefault="0026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75C7"/>
    <w:multiLevelType w:val="hybridMultilevel"/>
    <w:tmpl w:val="47BC7060"/>
    <w:lvl w:ilvl="0" w:tplc="83F01708">
      <w:start w:val="1"/>
      <w:numFmt w:val="ideographDigital"/>
      <w:lvlText w:val="%1、"/>
      <w:lvlJc w:val="left"/>
      <w:pPr>
        <w:ind w:left="11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C82CEA">
      <w:start w:val="1"/>
      <w:numFmt w:val="lowerLetter"/>
      <w:lvlText w:val="%2"/>
      <w:lvlJc w:val="left"/>
      <w:pPr>
        <w:ind w:left="16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5DCA756">
      <w:start w:val="1"/>
      <w:numFmt w:val="lowerRoman"/>
      <w:lvlText w:val="%3"/>
      <w:lvlJc w:val="left"/>
      <w:pPr>
        <w:ind w:left="24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8CF5B8">
      <w:start w:val="1"/>
      <w:numFmt w:val="decimal"/>
      <w:lvlText w:val="%4"/>
      <w:lvlJc w:val="left"/>
      <w:pPr>
        <w:ind w:left="31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FC487A">
      <w:start w:val="1"/>
      <w:numFmt w:val="lowerLetter"/>
      <w:lvlText w:val="%5"/>
      <w:lvlJc w:val="left"/>
      <w:pPr>
        <w:ind w:left="38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5A055C">
      <w:start w:val="1"/>
      <w:numFmt w:val="lowerRoman"/>
      <w:lvlText w:val="%6"/>
      <w:lvlJc w:val="left"/>
      <w:pPr>
        <w:ind w:left="45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21AFE84">
      <w:start w:val="1"/>
      <w:numFmt w:val="decimal"/>
      <w:lvlText w:val="%7"/>
      <w:lvlJc w:val="left"/>
      <w:pPr>
        <w:ind w:left="52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90816F8">
      <w:start w:val="1"/>
      <w:numFmt w:val="lowerLetter"/>
      <w:lvlText w:val="%8"/>
      <w:lvlJc w:val="left"/>
      <w:pPr>
        <w:ind w:left="60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0440A8">
      <w:start w:val="1"/>
      <w:numFmt w:val="lowerRoman"/>
      <w:lvlText w:val="%9"/>
      <w:lvlJc w:val="left"/>
      <w:pPr>
        <w:ind w:left="67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F7F5A6C"/>
    <w:multiLevelType w:val="hybridMultilevel"/>
    <w:tmpl w:val="5B649C20"/>
    <w:lvl w:ilvl="0" w:tplc="E4064B52">
      <w:start w:val="1"/>
      <w:numFmt w:val="ideographDigital"/>
      <w:lvlText w:val="%1、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BCAC82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FD05A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ACE26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21CE7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7F4EF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7B06E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5E1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7E70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00F5AED"/>
    <w:multiLevelType w:val="hybridMultilevel"/>
    <w:tmpl w:val="1D186E14"/>
    <w:lvl w:ilvl="0" w:tplc="682E26A4">
      <w:start w:val="1"/>
      <w:numFmt w:val="ideographDigit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FA8A74">
      <w:start w:val="1"/>
      <w:numFmt w:val="lowerLetter"/>
      <w:lvlText w:val="%2"/>
      <w:lvlJc w:val="left"/>
      <w:pPr>
        <w:ind w:left="1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CA6798C">
      <w:start w:val="1"/>
      <w:numFmt w:val="lowerRoman"/>
      <w:lvlText w:val="%3"/>
      <w:lvlJc w:val="left"/>
      <w:pPr>
        <w:ind w:left="2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F6E270">
      <w:start w:val="1"/>
      <w:numFmt w:val="decimal"/>
      <w:lvlText w:val="%4"/>
      <w:lvlJc w:val="left"/>
      <w:pPr>
        <w:ind w:left="3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D84C28">
      <w:start w:val="1"/>
      <w:numFmt w:val="lowerLetter"/>
      <w:lvlText w:val="%5"/>
      <w:lvlJc w:val="left"/>
      <w:pPr>
        <w:ind w:left="3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4E81B2">
      <w:start w:val="1"/>
      <w:numFmt w:val="lowerRoman"/>
      <w:lvlText w:val="%6"/>
      <w:lvlJc w:val="left"/>
      <w:pPr>
        <w:ind w:left="45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9BC28E4">
      <w:start w:val="1"/>
      <w:numFmt w:val="decimal"/>
      <w:lvlText w:val="%7"/>
      <w:lvlJc w:val="left"/>
      <w:pPr>
        <w:ind w:left="52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F49E96">
      <w:start w:val="1"/>
      <w:numFmt w:val="lowerLetter"/>
      <w:lvlText w:val="%8"/>
      <w:lvlJc w:val="left"/>
      <w:pPr>
        <w:ind w:left="6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14F1CC">
      <w:start w:val="1"/>
      <w:numFmt w:val="lowerRoman"/>
      <w:lvlText w:val="%9"/>
      <w:lvlJc w:val="left"/>
      <w:pPr>
        <w:ind w:left="6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0B015B1"/>
    <w:multiLevelType w:val="hybridMultilevel"/>
    <w:tmpl w:val="AC6405D4"/>
    <w:lvl w:ilvl="0" w:tplc="DCA664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42E63C">
      <w:start w:val="1"/>
      <w:numFmt w:val="decimal"/>
      <w:lvlText w:val="%2、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8CF7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FE79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2A2F2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70A82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882A5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75885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3D031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B3643BC"/>
    <w:multiLevelType w:val="hybridMultilevel"/>
    <w:tmpl w:val="AC98AE48"/>
    <w:lvl w:ilvl="0" w:tplc="B230624C">
      <w:start w:val="1"/>
      <w:numFmt w:val="ideographDigital"/>
      <w:lvlText w:val="%1、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FA3400">
      <w:start w:val="1"/>
      <w:numFmt w:val="decimal"/>
      <w:lvlText w:val="%2.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5061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66EAB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4CE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5201A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0874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E60F9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40A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56ED1CEA"/>
    <w:multiLevelType w:val="hybridMultilevel"/>
    <w:tmpl w:val="DE40BA80"/>
    <w:lvl w:ilvl="0" w:tplc="4DAA09EC">
      <w:start w:val="1"/>
      <w:numFmt w:val="ideographDigital"/>
      <w:lvlText w:val="%1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D946C4E">
      <w:start w:val="1"/>
      <w:numFmt w:val="decimal"/>
      <w:lvlText w:val="%2、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93C6B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77A17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769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2E425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D322F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7A44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76FB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6004479F"/>
    <w:multiLevelType w:val="hybridMultilevel"/>
    <w:tmpl w:val="E542B8EC"/>
    <w:lvl w:ilvl="0" w:tplc="B2061612">
      <w:start w:val="1"/>
      <w:numFmt w:val="ideographDigital"/>
      <w:lvlText w:val="%1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B287304">
      <w:start w:val="1"/>
      <w:numFmt w:val="lowerLetter"/>
      <w:lvlText w:val="%2"/>
      <w:lvlJc w:val="left"/>
      <w:pPr>
        <w:ind w:left="16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742A986">
      <w:start w:val="1"/>
      <w:numFmt w:val="lowerRoman"/>
      <w:lvlText w:val="%3"/>
      <w:lvlJc w:val="left"/>
      <w:pPr>
        <w:ind w:left="2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E2F300">
      <w:start w:val="1"/>
      <w:numFmt w:val="decimal"/>
      <w:lvlText w:val="%4"/>
      <w:lvlJc w:val="left"/>
      <w:pPr>
        <w:ind w:left="3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DC5AC6">
      <w:start w:val="1"/>
      <w:numFmt w:val="lowerLetter"/>
      <w:lvlText w:val="%5"/>
      <w:lvlJc w:val="left"/>
      <w:pPr>
        <w:ind w:left="3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99C074E">
      <w:start w:val="1"/>
      <w:numFmt w:val="lowerRoman"/>
      <w:lvlText w:val="%6"/>
      <w:lvlJc w:val="left"/>
      <w:pPr>
        <w:ind w:left="4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8E4DEA">
      <w:start w:val="1"/>
      <w:numFmt w:val="decimal"/>
      <w:lvlText w:val="%7"/>
      <w:lvlJc w:val="left"/>
      <w:pPr>
        <w:ind w:left="52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E0D642">
      <w:start w:val="1"/>
      <w:numFmt w:val="lowerLetter"/>
      <w:lvlText w:val="%8"/>
      <w:lvlJc w:val="left"/>
      <w:pPr>
        <w:ind w:left="60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E5A671C">
      <w:start w:val="1"/>
      <w:numFmt w:val="lowerRoman"/>
      <w:lvlText w:val="%9"/>
      <w:lvlJc w:val="left"/>
      <w:pPr>
        <w:ind w:left="67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07"/>
    <w:rsid w:val="00010836"/>
    <w:rsid w:val="000A2E54"/>
    <w:rsid w:val="00120526"/>
    <w:rsid w:val="00133B80"/>
    <w:rsid w:val="00170D7B"/>
    <w:rsid w:val="00194D07"/>
    <w:rsid w:val="00221900"/>
    <w:rsid w:val="00266F67"/>
    <w:rsid w:val="00333A5D"/>
    <w:rsid w:val="0043414D"/>
    <w:rsid w:val="004B4040"/>
    <w:rsid w:val="004C1F0E"/>
    <w:rsid w:val="005E75DE"/>
    <w:rsid w:val="006F2552"/>
    <w:rsid w:val="007A58EF"/>
    <w:rsid w:val="00807B17"/>
    <w:rsid w:val="00822D55"/>
    <w:rsid w:val="00823676"/>
    <w:rsid w:val="009E5467"/>
    <w:rsid w:val="00A14843"/>
    <w:rsid w:val="00AA43BE"/>
    <w:rsid w:val="00AC2A79"/>
    <w:rsid w:val="00B201C2"/>
    <w:rsid w:val="00B7796F"/>
    <w:rsid w:val="00B813E1"/>
    <w:rsid w:val="00B92848"/>
    <w:rsid w:val="00C32E74"/>
    <w:rsid w:val="00DC68F7"/>
    <w:rsid w:val="00E04214"/>
    <w:rsid w:val="00E1464D"/>
    <w:rsid w:val="00E30DC5"/>
    <w:rsid w:val="00E84B5C"/>
    <w:rsid w:val="00E936F0"/>
    <w:rsid w:val="00EE2003"/>
    <w:rsid w:val="00EF789D"/>
    <w:rsid w:val="00F601D8"/>
    <w:rsid w:val="00F926EB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B43170D-4265-48A4-9F09-A01F54F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5C"/>
    <w:pPr>
      <w:spacing w:after="116" w:line="271" w:lineRule="auto"/>
      <w:ind w:left="10" w:right="123" w:hanging="10"/>
    </w:pPr>
    <w:rPr>
      <w:rFonts w:ascii="標楷體" w:eastAsia="標楷體" w:hAnsi="標楷體" w:cs="標楷體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45A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2D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55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A58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F429-74E0-47CE-98F2-D745518A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2192</Words>
  <Characters>166</Characters>
  <Application>Microsoft Office Word</Application>
  <DocSecurity>0</DocSecurity>
  <Lines>1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招標案號：</dc:title>
  <dc:subject/>
  <dc:creator>mar50870</dc:creator>
  <cp:keywords/>
  <dc:description/>
  <cp:lastModifiedBy>ctsuser</cp:lastModifiedBy>
  <cp:revision>15</cp:revision>
  <dcterms:created xsi:type="dcterms:W3CDTF">2021-05-07T08:34:00Z</dcterms:created>
  <dcterms:modified xsi:type="dcterms:W3CDTF">2021-09-06T03:04:00Z</dcterms:modified>
</cp:coreProperties>
</file>